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5"/>
        <w:gridCol w:w="5245"/>
        <w:gridCol w:w="1605"/>
      </w:tblGrid>
      <w:tr w:rsidR="00A866A2" w:rsidRPr="00A866A2" w:rsidTr="00A866A2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A866A2" w:rsidRPr="00A866A2" w:rsidRDefault="00A866A2" w:rsidP="00A866A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br/>
              <w:t>15.12.2011</w:t>
            </w:r>
          </w:p>
        </w:tc>
      </w:tr>
      <w:tr w:rsidR="00A866A2" w:rsidRPr="00A866A2" w:rsidTr="00A866A2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A866A2" w:rsidRPr="00A866A2" w:rsidRDefault="00A866A2" w:rsidP="00A866A2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A866A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Луя</w:t>
            </w:r>
            <w:proofErr w:type="spellEnd"/>
            <w:r w:rsidRPr="00A866A2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покрывная краска, матовая</w:t>
            </w:r>
          </w:p>
        </w:tc>
        <w:tc>
          <w:tcPr>
            <w:tcW w:w="0" w:type="auto"/>
            <w:vMerge w:val="restart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Луя покрывная краска матовая">
                    <a:hlinkClick xmlns:a="http://schemas.openxmlformats.org/drawingml/2006/main" r:id="rId4" tooltip="&quot;Луя покрывная краска матовая (jpg) (23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уя покрывная краска матовая">
                            <a:hlinkClick r:id="rId4" tooltip="&quot;Луя покрывная краска матовая (jpg) (23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Луя покрывная краска матовая (jpg) (23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Луя покрывная краска матовая (jpg) (23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Луя покрывная краска матовая (jpg) (23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866A2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  <w:p w:rsidR="00A866A2" w:rsidRPr="00A866A2" w:rsidRDefault="00A866A2" w:rsidP="00A866A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266700" cy="276225"/>
                  <wp:effectExtent l="19050" t="0" r="0" b="0"/>
                  <wp:docPr id="3" name="Рисунок 3" descr="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6A2" w:rsidRPr="00A866A2" w:rsidTr="00A866A2">
        <w:trPr>
          <w:tblCellSpacing w:w="15" w:type="dxa"/>
          <w:jc w:val="center"/>
        </w:trPr>
        <w:tc>
          <w:tcPr>
            <w:tcW w:w="0" w:type="auto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 xml:space="preserve">Специальная </w:t>
            </w:r>
            <w:proofErr w:type="spellStart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акрилатная</w:t>
            </w:r>
            <w:proofErr w:type="spellEnd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краска, содержащая </w:t>
            </w:r>
            <w:proofErr w:type="spellStart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противоплесневый</w:t>
            </w:r>
            <w:proofErr w:type="spellEnd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 xml:space="preserve"> компонент, защищающий поверхность.</w:t>
            </w:r>
          </w:p>
        </w:tc>
        <w:tc>
          <w:tcPr>
            <w:tcW w:w="0" w:type="auto"/>
            <w:vMerge/>
            <w:vAlign w:val="center"/>
            <w:hideMark/>
          </w:tcPr>
          <w:p w:rsidR="00A866A2" w:rsidRPr="00A866A2" w:rsidRDefault="00A866A2" w:rsidP="00A866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866A2" w:rsidRPr="00A866A2" w:rsidTr="00A866A2">
        <w:trPr>
          <w:tblCellSpacing w:w="15" w:type="dxa"/>
          <w:jc w:val="center"/>
        </w:trPr>
        <w:tc>
          <w:tcPr>
            <w:tcW w:w="0" w:type="auto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A866A2" w:rsidRPr="00A866A2" w:rsidRDefault="00A866A2" w:rsidP="00A866A2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A866A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Предназначена</w:t>
            </w:r>
            <w:proofErr w:type="gramEnd"/>
            <w:r w:rsidRPr="00A866A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для окраски бетонных, оштукатуренных, зашпатлеванных, кирпичных, гипсовых, древесностружечных и древесноволокнистых плит внутри помещения. Подходит для окраски как новых, так и ранее окрашенных поверхностей. Подходит для окраски радиаторов отопления.</w:t>
            </w:r>
          </w:p>
        </w:tc>
        <w:tc>
          <w:tcPr>
            <w:tcW w:w="0" w:type="auto"/>
            <w:vMerge/>
            <w:vAlign w:val="center"/>
            <w:hideMark/>
          </w:tcPr>
          <w:p w:rsidR="00A866A2" w:rsidRPr="00A866A2" w:rsidRDefault="00A866A2" w:rsidP="00A866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866A2" w:rsidRPr="00A866A2" w:rsidTr="00A866A2">
        <w:trPr>
          <w:tblCellSpacing w:w="15" w:type="dxa"/>
          <w:jc w:val="center"/>
        </w:trPr>
        <w:tc>
          <w:tcPr>
            <w:tcW w:w="0" w:type="auto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Применяется для окраски стен и потолков во влажных помещениях и в помещениях лечебно-профилактических учреждений, в помещениях, от поверхностей которых требуется стойкость к мытью и износу, например, вестибюлях, лестничных клетках, коридорах и палатах больниц, а также других поверхностей, которые подвергаются большой нагрузке. </w:t>
            </w:r>
            <w:proofErr w:type="gramStart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Одобрена</w:t>
            </w:r>
            <w:proofErr w:type="gramEnd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окраски помещений предприятий пищевой промышленности (Закон о продовольствии Финляндии 23/2006).</w:t>
            </w:r>
          </w:p>
        </w:tc>
        <w:tc>
          <w:tcPr>
            <w:tcW w:w="0" w:type="auto"/>
            <w:vMerge/>
            <w:vAlign w:val="center"/>
            <w:hideMark/>
          </w:tcPr>
          <w:p w:rsidR="00A866A2" w:rsidRPr="00A866A2" w:rsidRDefault="00A866A2" w:rsidP="00A866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866A2" w:rsidRPr="00A866A2" w:rsidTr="00A866A2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A866A2" w:rsidRPr="00A866A2" w:rsidTr="00A866A2">
        <w:trPr>
          <w:tblCellSpacing w:w="15" w:type="dxa"/>
          <w:jc w:val="center"/>
        </w:trPr>
        <w:tc>
          <w:tcPr>
            <w:tcW w:w="0" w:type="auto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A866A2" w:rsidRPr="00A866A2" w:rsidRDefault="00A866A2" w:rsidP="00A8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66A2" w:rsidRPr="00A866A2" w:rsidRDefault="00A866A2" w:rsidP="00A8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6A2" w:rsidRPr="00A866A2" w:rsidTr="00A866A2">
        <w:trPr>
          <w:tblCellSpacing w:w="15" w:type="dxa"/>
          <w:jc w:val="center"/>
        </w:trPr>
        <w:tc>
          <w:tcPr>
            <w:tcW w:w="0" w:type="auto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ЛКМ для внутренни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КМ для внутренни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6" name="Рисунок 6" descr="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6A2" w:rsidRPr="00A866A2" w:rsidRDefault="00A866A2" w:rsidP="00A866A2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A866A2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5</w:t>
            </w:r>
          </w:p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1" name="Рисунок 11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6A2" w:rsidRPr="00A866A2" w:rsidRDefault="00A866A2" w:rsidP="00A866A2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A866A2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8</w:t>
            </w:r>
          </w:p>
        </w:tc>
      </w:tr>
      <w:tr w:rsidR="00A866A2" w:rsidRPr="00A866A2" w:rsidTr="00A866A2">
        <w:trPr>
          <w:tblCellSpacing w:w="15" w:type="dxa"/>
          <w:jc w:val="center"/>
        </w:trPr>
        <w:tc>
          <w:tcPr>
            <w:tcW w:w="0" w:type="auto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A и C</w:t>
            </w:r>
          </w:p>
        </w:tc>
      </w:tr>
      <w:tr w:rsidR="00A866A2" w:rsidRPr="00A866A2" w:rsidTr="00A866A2">
        <w:trPr>
          <w:tblCellSpacing w:w="15" w:type="dxa"/>
          <w:jc w:val="center"/>
        </w:trPr>
        <w:tc>
          <w:tcPr>
            <w:tcW w:w="0" w:type="auto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Согласно гамме «</w:t>
            </w:r>
            <w:proofErr w:type="spellStart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Тиккурила</w:t>
            </w:r>
            <w:proofErr w:type="spellEnd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Симфония».</w:t>
            </w:r>
          </w:p>
        </w:tc>
      </w:tr>
      <w:tr w:rsidR="00A866A2" w:rsidRPr="00A866A2" w:rsidTr="00A866A2">
        <w:trPr>
          <w:tblCellSpacing w:w="15" w:type="dxa"/>
          <w:jc w:val="center"/>
        </w:trPr>
        <w:tc>
          <w:tcPr>
            <w:tcW w:w="0" w:type="auto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Цветовые каталоги</w:t>
            </w:r>
          </w:p>
        </w:tc>
        <w:tc>
          <w:tcPr>
            <w:tcW w:w="0" w:type="auto"/>
            <w:gridSpan w:val="2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6" w:history="1">
              <w:r w:rsidRPr="00A866A2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Почувствуй цвет</w:t>
              </w:r>
            </w:hyperlink>
          </w:p>
        </w:tc>
      </w:tr>
      <w:tr w:rsidR="00A866A2" w:rsidRPr="00A866A2" w:rsidTr="00A866A2">
        <w:trPr>
          <w:tblCellSpacing w:w="15" w:type="dxa"/>
          <w:jc w:val="center"/>
        </w:trPr>
        <w:tc>
          <w:tcPr>
            <w:tcW w:w="0" w:type="auto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Матовая</w:t>
            </w:r>
          </w:p>
        </w:tc>
      </w:tr>
      <w:tr w:rsidR="00A866A2" w:rsidRPr="00A866A2" w:rsidTr="00A866A2">
        <w:trPr>
          <w:tblCellSpacing w:w="15" w:type="dxa"/>
          <w:jc w:val="center"/>
        </w:trPr>
        <w:tc>
          <w:tcPr>
            <w:tcW w:w="0" w:type="auto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Класс эмиссии строительного материала</w:t>
            </w:r>
          </w:p>
        </w:tc>
        <w:tc>
          <w:tcPr>
            <w:tcW w:w="0" w:type="auto"/>
            <w:gridSpan w:val="2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M1</w:t>
            </w:r>
          </w:p>
        </w:tc>
      </w:tr>
      <w:tr w:rsidR="00A866A2" w:rsidRPr="00A866A2" w:rsidTr="00A866A2">
        <w:trPr>
          <w:tblCellSpacing w:w="15" w:type="dxa"/>
          <w:jc w:val="center"/>
        </w:trPr>
        <w:tc>
          <w:tcPr>
            <w:tcW w:w="0" w:type="auto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A866A2" w:rsidRPr="00A866A2" w:rsidRDefault="00A866A2" w:rsidP="00A866A2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. 5–8 м²/л.</w:t>
            </w: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br/>
              <w:t>В системе "</w:t>
            </w:r>
            <w:proofErr w:type="spellStart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Луя</w:t>
            </w:r>
            <w:proofErr w:type="spellEnd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" – наносить на менее 0,32 кг/м² при нанесении в два слоя. При этом минимальный расход на один слой – 0,13 л/м².</w:t>
            </w:r>
          </w:p>
        </w:tc>
      </w:tr>
      <w:tr w:rsidR="00A866A2" w:rsidRPr="00A866A2" w:rsidTr="00A866A2">
        <w:trPr>
          <w:tblCellSpacing w:w="15" w:type="dxa"/>
          <w:jc w:val="center"/>
        </w:trPr>
        <w:tc>
          <w:tcPr>
            <w:tcW w:w="0" w:type="auto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  <w:proofErr w:type="gramStart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 xml:space="preserve"> А</w:t>
            </w:r>
            <w:proofErr w:type="gramEnd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 xml:space="preserve"> - 0,9 л, 2,7 л, 9 л, 18 л. </w:t>
            </w: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базис С - 0,9 л, 2,7 л, 9 л. </w:t>
            </w:r>
          </w:p>
        </w:tc>
      </w:tr>
      <w:tr w:rsidR="00A866A2" w:rsidRPr="00A866A2" w:rsidTr="00A866A2">
        <w:trPr>
          <w:tblCellSpacing w:w="15" w:type="dxa"/>
          <w:jc w:val="center"/>
        </w:trPr>
        <w:tc>
          <w:tcPr>
            <w:tcW w:w="0" w:type="auto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A866A2" w:rsidRPr="00A866A2" w:rsidTr="00A866A2">
        <w:trPr>
          <w:tblCellSpacing w:w="15" w:type="dxa"/>
          <w:jc w:val="center"/>
        </w:trPr>
        <w:tc>
          <w:tcPr>
            <w:tcW w:w="0" w:type="auto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Наносится кистью, распылением под высоким давлением или валиком. При распылении под высоким давлением применять сопло 0,015" – 0,021". Допускается разбавлять до 5 % по объему.</w:t>
            </w:r>
          </w:p>
        </w:tc>
      </w:tr>
      <w:tr w:rsidR="00A866A2" w:rsidRPr="00A866A2" w:rsidTr="00A866A2">
        <w:trPr>
          <w:tblCellSpacing w:w="15" w:type="dxa"/>
          <w:jc w:val="center"/>
        </w:trPr>
        <w:tc>
          <w:tcPr>
            <w:tcW w:w="0" w:type="auto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На</w:t>
            </w:r>
            <w:proofErr w:type="gramEnd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 xml:space="preserve"> отлип – 2 часа.</w:t>
            </w: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br/>
              <w:t>Следующий слой можно наносить  через 4 часа.</w:t>
            </w:r>
          </w:p>
        </w:tc>
      </w:tr>
      <w:tr w:rsidR="00A866A2" w:rsidRPr="00A866A2" w:rsidTr="00A866A2">
        <w:trPr>
          <w:tblCellSpacing w:w="15" w:type="dxa"/>
          <w:jc w:val="center"/>
        </w:trPr>
        <w:tc>
          <w:tcPr>
            <w:tcW w:w="0" w:type="auto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Стойкость к мытью</w:t>
            </w:r>
          </w:p>
        </w:tc>
        <w:tc>
          <w:tcPr>
            <w:tcW w:w="0" w:type="auto"/>
            <w:gridSpan w:val="2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Отличная</w:t>
            </w:r>
            <w:proofErr w:type="gramEnd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 xml:space="preserve">, выдерживает более 20 000 проходов щеткой. </w:t>
            </w:r>
            <w:proofErr w:type="gramStart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Устойчива</w:t>
            </w:r>
            <w:proofErr w:type="gramEnd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 xml:space="preserve"> к сильным моющим и дезинфекционным средствам, применяемых в больницах.</w:t>
            </w:r>
          </w:p>
        </w:tc>
      </w:tr>
      <w:tr w:rsidR="00A866A2" w:rsidRPr="00A866A2" w:rsidTr="00A866A2">
        <w:trPr>
          <w:tblCellSpacing w:w="15" w:type="dxa"/>
          <w:jc w:val="center"/>
        </w:trPr>
        <w:tc>
          <w:tcPr>
            <w:tcW w:w="0" w:type="auto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Стойкость к химикатам</w:t>
            </w:r>
          </w:p>
        </w:tc>
        <w:tc>
          <w:tcPr>
            <w:tcW w:w="0" w:type="auto"/>
            <w:gridSpan w:val="2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Устойчива</w:t>
            </w:r>
            <w:proofErr w:type="gramEnd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 xml:space="preserve"> к растворителям, например, к </w:t>
            </w:r>
            <w:proofErr w:type="spellStart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уайт-спириту</w:t>
            </w:r>
            <w:proofErr w:type="spellEnd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денатурату.</w:t>
            </w:r>
          </w:p>
        </w:tc>
      </w:tr>
      <w:tr w:rsidR="00A866A2" w:rsidRPr="00A866A2" w:rsidTr="00A866A2">
        <w:trPr>
          <w:tblCellSpacing w:w="15" w:type="dxa"/>
          <w:jc w:val="center"/>
        </w:trPr>
        <w:tc>
          <w:tcPr>
            <w:tcW w:w="0" w:type="auto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Термостойкость</w:t>
            </w:r>
          </w:p>
        </w:tc>
        <w:tc>
          <w:tcPr>
            <w:tcW w:w="0" w:type="auto"/>
            <w:gridSpan w:val="2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85 °C.</w:t>
            </w:r>
          </w:p>
        </w:tc>
      </w:tr>
      <w:tr w:rsidR="00A866A2" w:rsidRPr="00A866A2" w:rsidTr="00A866A2">
        <w:trPr>
          <w:tblCellSpacing w:w="15" w:type="dxa"/>
          <w:jc w:val="center"/>
        </w:trPr>
        <w:tc>
          <w:tcPr>
            <w:tcW w:w="0" w:type="auto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 xml:space="preserve">Стойкость к мокрому </w:t>
            </w: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трению</w:t>
            </w:r>
          </w:p>
        </w:tc>
        <w:tc>
          <w:tcPr>
            <w:tcW w:w="0" w:type="auto"/>
            <w:gridSpan w:val="2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1 класс по ISO 11998.</w:t>
            </w:r>
          </w:p>
        </w:tc>
      </w:tr>
      <w:tr w:rsidR="00A866A2" w:rsidRPr="00A866A2" w:rsidTr="00A866A2">
        <w:trPr>
          <w:tblCellSpacing w:w="15" w:type="dxa"/>
          <w:jc w:val="center"/>
        </w:trPr>
        <w:tc>
          <w:tcPr>
            <w:tcW w:w="0" w:type="auto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40 %.</w:t>
            </w:r>
          </w:p>
        </w:tc>
      </w:tr>
      <w:tr w:rsidR="00A866A2" w:rsidRPr="00A866A2" w:rsidTr="00A866A2">
        <w:trPr>
          <w:tblCellSpacing w:w="15" w:type="dxa"/>
          <w:jc w:val="center"/>
        </w:trPr>
        <w:tc>
          <w:tcPr>
            <w:tcW w:w="0" w:type="auto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1,2 кг/л.</w:t>
            </w:r>
          </w:p>
        </w:tc>
      </w:tr>
      <w:tr w:rsidR="00A866A2" w:rsidRPr="00A866A2" w:rsidTr="00A866A2">
        <w:trPr>
          <w:tblCellSpacing w:w="15" w:type="dxa"/>
          <w:jc w:val="center"/>
        </w:trPr>
        <w:tc>
          <w:tcPr>
            <w:tcW w:w="0" w:type="auto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A866A2" w:rsidRPr="00A866A2" w:rsidTr="00A866A2">
        <w:trPr>
          <w:tblCellSpacing w:w="15" w:type="dxa"/>
          <w:jc w:val="center"/>
        </w:trPr>
        <w:tc>
          <w:tcPr>
            <w:tcW w:w="0" w:type="auto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699-серия</w:t>
            </w:r>
          </w:p>
        </w:tc>
      </w:tr>
      <w:tr w:rsidR="00A866A2" w:rsidRPr="00A866A2" w:rsidTr="00A866A2">
        <w:trPr>
          <w:tblCellSpacing w:w="15" w:type="dxa"/>
          <w:jc w:val="center"/>
        </w:trPr>
        <w:tc>
          <w:tcPr>
            <w:tcW w:w="0" w:type="auto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7" w:tgtFrame="_blank" w:tooltip="Свидетельство о государственной регистрации (pdf) (559.2 KB)" w:history="1">
              <w:r w:rsidRPr="00A866A2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A866A2" w:rsidRPr="00A866A2" w:rsidTr="00A866A2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A866A2" w:rsidRPr="00A866A2" w:rsidTr="00A866A2">
        <w:trPr>
          <w:tblCellSpacing w:w="15" w:type="dxa"/>
          <w:jc w:val="center"/>
        </w:trPr>
        <w:tc>
          <w:tcPr>
            <w:tcW w:w="0" w:type="auto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A866A2" w:rsidRPr="00A866A2" w:rsidRDefault="00A866A2" w:rsidP="00A8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866A2" w:rsidRPr="00A866A2" w:rsidRDefault="00A866A2" w:rsidP="00A8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6A2" w:rsidRPr="00A866A2" w:rsidTr="00A866A2">
        <w:trPr>
          <w:tblCellSpacing w:w="15" w:type="dxa"/>
          <w:jc w:val="center"/>
        </w:trPr>
        <w:tc>
          <w:tcPr>
            <w:tcW w:w="0" w:type="auto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сухой. Температура воздуха должна быть не ниже +5</w:t>
            </w:r>
            <w:proofErr w:type="gramStart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– не выше 80 %.</w:t>
            </w:r>
          </w:p>
        </w:tc>
      </w:tr>
      <w:tr w:rsidR="00A866A2" w:rsidRPr="00A866A2" w:rsidTr="00A866A2">
        <w:trPr>
          <w:tblCellSpacing w:w="15" w:type="dxa"/>
          <w:jc w:val="center"/>
        </w:trPr>
        <w:tc>
          <w:tcPr>
            <w:tcW w:w="0" w:type="auto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br/>
              <w:t>Обезжирить и очистить поверхность от грязи и пыли. Неровности выправить подходящей шпатлевкой серии "Престо", высохшую поверхность отшлифовать. Пыль от шлифовки удалить. При необходимости, загрунтовать универсальной грунтовкой "</w:t>
            </w:r>
            <w:proofErr w:type="spellStart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Луя</w:t>
            </w:r>
            <w:proofErr w:type="spellEnd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" или грунтовкой "</w:t>
            </w:r>
            <w:proofErr w:type="spellStart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Варма</w:t>
            </w:r>
            <w:proofErr w:type="spellEnd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 xml:space="preserve">". </w:t>
            </w: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окрашенные поверхности: </w:t>
            </w: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Вымыть поверхность раствором "</w:t>
            </w:r>
            <w:proofErr w:type="spellStart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" или "</w:t>
            </w:r>
            <w:proofErr w:type="spellStart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Хомеенпойсто</w:t>
            </w:r>
            <w:proofErr w:type="spellEnd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" согласно инструкциям по применению, затем тщательно промыть водой и дать просохнуть. Отслаивающуюся краску удалить скребком. Твердые, глянцевые слои старой краски отшлифовать до матового состояния, пыль от шлифовки удалить. Неровности выправить подходящей шпатлевкой "Престо". Высохшую поверхность отшлифовать и пыль удалить. При необходимости, перед покрывной окраской загрунтовать универсальной грунтовкой "</w:t>
            </w:r>
            <w:proofErr w:type="spellStart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Луя</w:t>
            </w:r>
            <w:proofErr w:type="spellEnd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" или грунтовкой "</w:t>
            </w:r>
            <w:proofErr w:type="spellStart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Варма</w:t>
            </w:r>
            <w:proofErr w:type="spellEnd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A866A2" w:rsidRPr="00A866A2" w:rsidTr="00A866A2">
        <w:trPr>
          <w:tblCellSpacing w:w="15" w:type="dxa"/>
          <w:jc w:val="center"/>
        </w:trPr>
        <w:tc>
          <w:tcPr>
            <w:tcW w:w="0" w:type="auto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Окраска</w:t>
            </w:r>
          </w:p>
        </w:tc>
        <w:tc>
          <w:tcPr>
            <w:tcW w:w="0" w:type="auto"/>
            <w:gridSpan w:val="2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Краску тщательно перемешать перед применением. Наносить кистью, валиком или распылением в 2 слоя.</w:t>
            </w:r>
          </w:p>
        </w:tc>
      </w:tr>
      <w:tr w:rsidR="00A866A2" w:rsidRPr="00A866A2" w:rsidTr="00A866A2">
        <w:trPr>
          <w:tblCellSpacing w:w="15" w:type="dxa"/>
          <w:jc w:val="center"/>
        </w:trPr>
        <w:tc>
          <w:tcPr>
            <w:tcW w:w="0" w:type="auto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Рабочие инструменты промыть водой. Слегка затвердевшую краску рекомендуется удалить моющим средством для кистей "</w:t>
            </w:r>
            <w:proofErr w:type="spellStart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A866A2" w:rsidRPr="00A866A2" w:rsidTr="00A866A2">
        <w:trPr>
          <w:tblCellSpacing w:w="15" w:type="dxa"/>
          <w:jc w:val="center"/>
        </w:trPr>
        <w:tc>
          <w:tcPr>
            <w:tcW w:w="0" w:type="auto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 xml:space="preserve">Избегать применения моющих средств и сильной очистки свежеокрашенной поверхности в течение нескольких недель, так как свежее покрытие достигает своей окончательной твердости и стойкости в течение прибл. одного месяца после окраски. В случае необходимости для очистки покрытия в данный период можно применить легкую очистку мягкой щеткой или влажной тканью. </w:t>
            </w: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Примерно через месяц после окраски готовое покрытие можно очищать нейтральными (</w:t>
            </w:r>
            <w:proofErr w:type="spellStart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 xml:space="preserve"> 6-8) моющими средствами с помощью мягкой ткани или щетки, либо губки. Сильно загрязненные поверхности можно очищать слабыми щелочными моющими средствами (</w:t>
            </w:r>
            <w:proofErr w:type="spellStart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 xml:space="preserve"> 8-10), например, тряпкой или губкой. После очистки поверхность необходимо тщательно вымыть чистой водой. При приготовлении моющего раствора придерживаться рекомендаций производителей моющих средств.</w:t>
            </w:r>
          </w:p>
        </w:tc>
      </w:tr>
      <w:tr w:rsidR="00A866A2" w:rsidRPr="00A866A2" w:rsidTr="00A866A2">
        <w:trPr>
          <w:tblCellSpacing w:w="15" w:type="dxa"/>
          <w:jc w:val="center"/>
        </w:trPr>
        <w:tc>
          <w:tcPr>
            <w:tcW w:w="0" w:type="auto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Ремонтная окраска</w:t>
            </w:r>
          </w:p>
        </w:tc>
        <w:tc>
          <w:tcPr>
            <w:tcW w:w="0" w:type="auto"/>
            <w:gridSpan w:val="2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Поверхность, окрашенную краской "</w:t>
            </w:r>
            <w:proofErr w:type="spellStart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Луя</w:t>
            </w:r>
            <w:proofErr w:type="spellEnd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 xml:space="preserve">", можно окрашивать однотипной </w:t>
            </w:r>
            <w:proofErr w:type="spellStart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водоразбавляемой</w:t>
            </w:r>
            <w:proofErr w:type="spellEnd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краской. См. пункт "Предварительная подготовка".</w:t>
            </w:r>
          </w:p>
        </w:tc>
      </w:tr>
      <w:tr w:rsidR="00A866A2" w:rsidRPr="00A866A2" w:rsidTr="00A866A2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A866A2" w:rsidRPr="00A866A2" w:rsidTr="00A866A2">
        <w:trPr>
          <w:tblCellSpacing w:w="15" w:type="dxa"/>
          <w:jc w:val="center"/>
        </w:trPr>
        <w:tc>
          <w:tcPr>
            <w:tcW w:w="0" w:type="auto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Продукт не классифицирован, как опасный. На продукт имеется паспорт техники </w:t>
            </w:r>
            <w:proofErr w:type="spellStart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8" w:tgtFrame="_blank" w:tooltip="Паспорт техники безопасности (pdf) (112 KB)" w:history="1">
              <w:r w:rsidRPr="00A866A2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A866A2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A866A2" w:rsidRPr="00A866A2" w:rsidTr="00A866A2">
        <w:trPr>
          <w:tblCellSpacing w:w="15" w:type="dxa"/>
          <w:jc w:val="center"/>
        </w:trPr>
        <w:tc>
          <w:tcPr>
            <w:tcW w:w="0" w:type="auto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866A2" w:rsidRPr="00A866A2" w:rsidRDefault="00A866A2" w:rsidP="00A866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866A2" w:rsidRPr="00A866A2" w:rsidTr="00A866A2">
        <w:trPr>
          <w:tblCellSpacing w:w="15" w:type="dxa"/>
          <w:jc w:val="center"/>
        </w:trPr>
        <w:tc>
          <w:tcPr>
            <w:tcW w:w="0" w:type="auto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 xml:space="preserve">Жидкие остатки передать </w:t>
            </w:r>
            <w:proofErr w:type="gramStart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вывезти на свалку – соблюдать местное законодательство. </w:t>
            </w:r>
          </w:p>
        </w:tc>
      </w:tr>
      <w:tr w:rsidR="00A866A2" w:rsidRPr="00A866A2" w:rsidTr="00A866A2">
        <w:trPr>
          <w:tblCellSpacing w:w="15" w:type="dxa"/>
          <w:jc w:val="center"/>
        </w:trPr>
        <w:tc>
          <w:tcPr>
            <w:tcW w:w="0" w:type="auto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A866A2" w:rsidRPr="00A866A2" w:rsidRDefault="00A866A2" w:rsidP="00A86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66A2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</w:tbl>
    <w:p w:rsidR="009A5F09" w:rsidRDefault="009A5F09"/>
    <w:sectPr w:rsidR="009A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6A2"/>
    <w:rsid w:val="009A5F09"/>
    <w:rsid w:val="00A8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66A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8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8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0290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5374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59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027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130930">
                          <w:marLeft w:val="75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81998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357635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yperlink" Target="http://www.tikkurila.ru/files/2799/LUJA_804_805_699_MSDS_RUS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5179/Luja_all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kkurila.ru/bytovye_i_obschestroitelnye_kraski/tsveta/katalogi_tsvetov_dlya_vnutrennej_okraski/pochuvstvuj_tsvet_-_novinka!/vse_tsveta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5261/Luja_himmea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hyperlink" Target="http://www.tikkurila.ru/files/5261/Luja_himmea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4551</Characters>
  <Application>Microsoft Office Word</Application>
  <DocSecurity>0</DocSecurity>
  <Lines>37</Lines>
  <Paragraphs>10</Paragraphs>
  <ScaleCrop>false</ScaleCrop>
  <Company>ООО "БалтМостПроект"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2012-07-09T08:32:00Z</dcterms:created>
  <dcterms:modified xsi:type="dcterms:W3CDTF">2012-07-09T08:32:00Z</dcterms:modified>
</cp:coreProperties>
</file>