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2"/>
        <w:gridCol w:w="4547"/>
        <w:gridCol w:w="2216"/>
      </w:tblGrid>
      <w:tr w:rsidR="000E3F6E" w:rsidRPr="000E3F6E" w:rsidTr="000E3F6E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0E3F6E" w:rsidRPr="000E3F6E" w:rsidRDefault="000E3F6E" w:rsidP="000E3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br/>
              <w:t>05.01.2011</w:t>
            </w:r>
          </w:p>
        </w:tc>
      </w:tr>
      <w:tr w:rsidR="000E3F6E" w:rsidRPr="000E3F6E" w:rsidTr="000E3F6E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0E3F6E" w:rsidRPr="000E3F6E" w:rsidRDefault="000E3F6E" w:rsidP="000E3F6E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0E3F6E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Петсилакка</w:t>
            </w:r>
            <w:proofErr w:type="spellEnd"/>
            <w:r w:rsidRPr="000E3F6E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- </w:t>
            </w:r>
            <w:proofErr w:type="spellStart"/>
            <w:r w:rsidRPr="000E3F6E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Petsilakka</w:t>
            </w:r>
            <w:proofErr w:type="spellEnd"/>
            <w:r w:rsidRPr="000E3F6E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Петсилакка">
                    <a:hlinkClick xmlns:a="http://schemas.openxmlformats.org/drawingml/2006/main" r:id="rId4" tooltip="&quot;Петсилакка (jpg) (68.5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тсилакка">
                            <a:hlinkClick r:id="rId4" tooltip="&quot;Петсилакка (jpg) (68.5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Петсилакка (jpg) (68.5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Петсилакка (jpg) (68.5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Петсилакка (jpg) (68.5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E3F6E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0E3F6E" w:rsidRPr="000E3F6E" w:rsidTr="000E3F6E">
        <w:trPr>
          <w:tblCellSpacing w:w="15" w:type="dxa"/>
          <w:jc w:val="center"/>
        </w:trPr>
        <w:tc>
          <w:tcPr>
            <w:tcW w:w="0" w:type="auto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Цветной алкидный лак для внутренних деревянных поверхностей.</w:t>
            </w:r>
          </w:p>
        </w:tc>
        <w:tc>
          <w:tcPr>
            <w:tcW w:w="0" w:type="auto"/>
            <w:vMerge/>
            <w:vAlign w:val="center"/>
            <w:hideMark/>
          </w:tcPr>
          <w:p w:rsidR="000E3F6E" w:rsidRPr="000E3F6E" w:rsidRDefault="000E3F6E" w:rsidP="000E3F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0E3F6E" w:rsidRPr="000E3F6E" w:rsidTr="000E3F6E">
        <w:trPr>
          <w:tblCellSpacing w:w="15" w:type="dxa"/>
          <w:jc w:val="center"/>
        </w:trPr>
        <w:tc>
          <w:tcPr>
            <w:tcW w:w="0" w:type="auto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лакировки мебели, дверей, перил, лестниц.</w:t>
            </w:r>
          </w:p>
        </w:tc>
        <w:tc>
          <w:tcPr>
            <w:tcW w:w="0" w:type="auto"/>
            <w:vMerge/>
            <w:vAlign w:val="center"/>
            <w:hideMark/>
          </w:tcPr>
          <w:p w:rsidR="000E3F6E" w:rsidRPr="000E3F6E" w:rsidRDefault="000E3F6E" w:rsidP="000E3F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0E3F6E" w:rsidRPr="000E3F6E" w:rsidTr="000E3F6E">
        <w:trPr>
          <w:tblCellSpacing w:w="15" w:type="dxa"/>
          <w:jc w:val="center"/>
        </w:trPr>
        <w:tc>
          <w:tcPr>
            <w:tcW w:w="0" w:type="auto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лакировки мебели, дверей, перил, лестниц.</w:t>
            </w:r>
          </w:p>
        </w:tc>
        <w:tc>
          <w:tcPr>
            <w:tcW w:w="0" w:type="auto"/>
            <w:vMerge/>
            <w:vAlign w:val="center"/>
            <w:hideMark/>
          </w:tcPr>
          <w:p w:rsidR="000E3F6E" w:rsidRPr="000E3F6E" w:rsidRDefault="000E3F6E" w:rsidP="000E3F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0E3F6E" w:rsidRPr="000E3F6E" w:rsidTr="000E3F6E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0E3F6E" w:rsidRPr="000E3F6E" w:rsidTr="000E3F6E">
        <w:trPr>
          <w:tblCellSpacing w:w="15" w:type="dxa"/>
          <w:jc w:val="center"/>
        </w:trPr>
        <w:tc>
          <w:tcPr>
            <w:tcW w:w="0" w:type="auto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0E3F6E" w:rsidRPr="000E3F6E" w:rsidRDefault="000E3F6E" w:rsidP="000E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F6E" w:rsidRPr="000E3F6E" w:rsidRDefault="000E3F6E" w:rsidP="000E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3F6E" w:rsidRPr="000E3F6E" w:rsidTr="000E3F6E">
        <w:trPr>
          <w:tblCellSpacing w:w="15" w:type="dxa"/>
          <w:jc w:val="center"/>
        </w:trPr>
        <w:tc>
          <w:tcPr>
            <w:tcW w:w="0" w:type="auto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4" name="Рисунок 4" descr="Высокоглянце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ысокоглянце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Орган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рган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F6E" w:rsidRPr="000E3F6E" w:rsidRDefault="000E3F6E" w:rsidP="000E3F6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0E3F6E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10</w:t>
            </w:r>
          </w:p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F6E" w:rsidRPr="000E3F6E" w:rsidRDefault="000E3F6E" w:rsidP="000E3F6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0E3F6E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14</w:t>
            </w:r>
          </w:p>
        </w:tc>
      </w:tr>
      <w:tr w:rsidR="000E3F6E" w:rsidRPr="000E3F6E" w:rsidTr="000E3F6E">
        <w:trPr>
          <w:tblCellSpacing w:w="15" w:type="dxa"/>
          <w:jc w:val="center"/>
        </w:trPr>
        <w:tc>
          <w:tcPr>
            <w:tcW w:w="0" w:type="auto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 xml:space="preserve">Дуб, орех, </w:t>
            </w:r>
            <w:proofErr w:type="spellStart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махагон</w:t>
            </w:r>
            <w:proofErr w:type="spellEnd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, черный.</w:t>
            </w:r>
          </w:p>
        </w:tc>
      </w:tr>
      <w:tr w:rsidR="000E3F6E" w:rsidRPr="000E3F6E" w:rsidTr="000E3F6E">
        <w:trPr>
          <w:tblCellSpacing w:w="15" w:type="dxa"/>
          <w:jc w:val="center"/>
        </w:trPr>
        <w:tc>
          <w:tcPr>
            <w:tcW w:w="0" w:type="auto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Высокоглянцевая</w:t>
            </w:r>
            <w:proofErr w:type="spellEnd"/>
          </w:p>
        </w:tc>
      </w:tr>
      <w:tr w:rsidR="000E3F6E" w:rsidRPr="000E3F6E" w:rsidTr="000E3F6E">
        <w:trPr>
          <w:tblCellSpacing w:w="15" w:type="dxa"/>
          <w:jc w:val="center"/>
        </w:trPr>
        <w:tc>
          <w:tcPr>
            <w:tcW w:w="0" w:type="auto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10-14 м²/л. Расход лака колеблется в зависимости от требуемого оттенка.</w:t>
            </w:r>
          </w:p>
        </w:tc>
      </w:tr>
      <w:tr w:rsidR="000E3F6E" w:rsidRPr="000E3F6E" w:rsidTr="000E3F6E">
        <w:trPr>
          <w:tblCellSpacing w:w="15" w:type="dxa"/>
          <w:jc w:val="center"/>
        </w:trPr>
        <w:tc>
          <w:tcPr>
            <w:tcW w:w="0" w:type="auto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1/3 л и 1 л.</w:t>
            </w:r>
          </w:p>
        </w:tc>
      </w:tr>
      <w:tr w:rsidR="000E3F6E" w:rsidRPr="000E3F6E" w:rsidTr="000E3F6E">
        <w:trPr>
          <w:tblCellSpacing w:w="15" w:type="dxa"/>
          <w:jc w:val="center"/>
        </w:trPr>
        <w:tc>
          <w:tcPr>
            <w:tcW w:w="0" w:type="auto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Уайт-спирит 1050</w:t>
            </w:r>
          </w:p>
        </w:tc>
      </w:tr>
      <w:tr w:rsidR="000E3F6E" w:rsidRPr="000E3F6E" w:rsidTr="000E3F6E">
        <w:trPr>
          <w:tblCellSpacing w:w="15" w:type="dxa"/>
          <w:jc w:val="center"/>
        </w:trPr>
        <w:tc>
          <w:tcPr>
            <w:tcW w:w="0" w:type="auto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 или распылением.</w:t>
            </w:r>
          </w:p>
        </w:tc>
      </w:tr>
      <w:tr w:rsidR="000E3F6E" w:rsidRPr="000E3F6E" w:rsidTr="000E3F6E">
        <w:trPr>
          <w:tblCellSpacing w:w="15" w:type="dxa"/>
          <w:jc w:val="center"/>
        </w:trPr>
        <w:tc>
          <w:tcPr>
            <w:tcW w:w="0" w:type="auto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От пыли – 4 часа.</w:t>
            </w: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br/>
              <w:t>Для обращения – 12 часов.</w:t>
            </w: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Следующий слой лака можно наносить через 24 часа.</w:t>
            </w: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br/>
              <w:t>На время высыхания влияют тип лакируемой поверхности и толщина слоев.</w:t>
            </w:r>
          </w:p>
        </w:tc>
      </w:tr>
      <w:tr w:rsidR="000E3F6E" w:rsidRPr="000E3F6E" w:rsidTr="000E3F6E">
        <w:trPr>
          <w:tblCellSpacing w:w="15" w:type="dxa"/>
          <w:jc w:val="center"/>
        </w:trPr>
        <w:tc>
          <w:tcPr>
            <w:tcW w:w="0" w:type="auto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Стойкость к мытью</w:t>
            </w:r>
          </w:p>
        </w:tc>
        <w:tc>
          <w:tcPr>
            <w:tcW w:w="0" w:type="auto"/>
            <w:gridSpan w:val="2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Хорошая</w:t>
            </w:r>
            <w:proofErr w:type="gramEnd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 xml:space="preserve"> при применении обыкновенных моющих средств.</w:t>
            </w:r>
          </w:p>
        </w:tc>
      </w:tr>
      <w:tr w:rsidR="000E3F6E" w:rsidRPr="000E3F6E" w:rsidTr="000E3F6E">
        <w:trPr>
          <w:tblCellSpacing w:w="15" w:type="dxa"/>
          <w:jc w:val="center"/>
        </w:trPr>
        <w:tc>
          <w:tcPr>
            <w:tcW w:w="0" w:type="auto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Стойкость к химикатам</w:t>
            </w:r>
          </w:p>
        </w:tc>
        <w:tc>
          <w:tcPr>
            <w:tcW w:w="0" w:type="auto"/>
            <w:gridSpan w:val="2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Устойчив</w:t>
            </w:r>
            <w:proofErr w:type="gramEnd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 xml:space="preserve"> к </w:t>
            </w:r>
            <w:proofErr w:type="spellStart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уайт-спириту</w:t>
            </w:r>
            <w:proofErr w:type="spellEnd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хозяйственному спирту, а не устойчив, например, к </w:t>
            </w:r>
            <w:proofErr w:type="spellStart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нитрорастворителям</w:t>
            </w:r>
            <w:proofErr w:type="spellEnd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</w:p>
        </w:tc>
      </w:tr>
      <w:tr w:rsidR="000E3F6E" w:rsidRPr="000E3F6E" w:rsidTr="000E3F6E">
        <w:trPr>
          <w:tblCellSpacing w:w="15" w:type="dxa"/>
          <w:jc w:val="center"/>
        </w:trPr>
        <w:tc>
          <w:tcPr>
            <w:tcW w:w="0" w:type="auto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Износостойкость</w:t>
            </w:r>
          </w:p>
        </w:tc>
        <w:tc>
          <w:tcPr>
            <w:tcW w:w="0" w:type="auto"/>
            <w:gridSpan w:val="2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Хорошая.</w:t>
            </w:r>
          </w:p>
        </w:tc>
      </w:tr>
      <w:tr w:rsidR="000E3F6E" w:rsidRPr="000E3F6E" w:rsidTr="000E3F6E">
        <w:trPr>
          <w:tblCellSpacing w:w="15" w:type="dxa"/>
          <w:jc w:val="center"/>
        </w:trPr>
        <w:tc>
          <w:tcPr>
            <w:tcW w:w="0" w:type="auto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Масл</w:t>
            </w:r>
            <w:proofErr w:type="gramStart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о-</w:t>
            </w:r>
            <w:proofErr w:type="gramEnd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</w:t>
            </w:r>
            <w:proofErr w:type="spellStart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жиростойкость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Выдерживает растительные и животные жиры, смазочные масла и консистентные смазки.</w:t>
            </w:r>
          </w:p>
        </w:tc>
      </w:tr>
      <w:tr w:rsidR="000E3F6E" w:rsidRPr="000E3F6E" w:rsidTr="000E3F6E">
        <w:trPr>
          <w:tblCellSpacing w:w="15" w:type="dxa"/>
          <w:jc w:val="center"/>
        </w:trPr>
        <w:tc>
          <w:tcPr>
            <w:tcW w:w="0" w:type="auto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. 38 %.</w:t>
            </w:r>
          </w:p>
        </w:tc>
      </w:tr>
      <w:tr w:rsidR="000E3F6E" w:rsidRPr="000E3F6E" w:rsidTr="000E3F6E">
        <w:trPr>
          <w:tblCellSpacing w:w="15" w:type="dxa"/>
          <w:jc w:val="center"/>
        </w:trPr>
        <w:tc>
          <w:tcPr>
            <w:tcW w:w="0" w:type="auto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0,9 кг/л.</w:t>
            </w:r>
          </w:p>
        </w:tc>
      </w:tr>
      <w:tr w:rsidR="000E3F6E" w:rsidRPr="000E3F6E" w:rsidTr="000E3F6E">
        <w:trPr>
          <w:tblCellSpacing w:w="15" w:type="dxa"/>
          <w:jc w:val="center"/>
        </w:trPr>
        <w:tc>
          <w:tcPr>
            <w:tcW w:w="0" w:type="auto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Выдерживает хранение и транспортировку при низких температурах. В неплотно закрытой или неполной таре лак не выдерживает длительного хранения.</w:t>
            </w:r>
          </w:p>
        </w:tc>
      </w:tr>
      <w:tr w:rsidR="000E3F6E" w:rsidRPr="000E3F6E" w:rsidTr="000E3F6E">
        <w:trPr>
          <w:tblCellSpacing w:w="15" w:type="dxa"/>
          <w:jc w:val="center"/>
        </w:trPr>
        <w:tc>
          <w:tcPr>
            <w:tcW w:w="0" w:type="auto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005 0020 - 0023</w:t>
            </w:r>
          </w:p>
        </w:tc>
      </w:tr>
      <w:tr w:rsidR="000E3F6E" w:rsidRPr="000E3F6E" w:rsidTr="000E3F6E">
        <w:trPr>
          <w:tblCellSpacing w:w="15" w:type="dxa"/>
          <w:jc w:val="center"/>
        </w:trPr>
        <w:tc>
          <w:tcPr>
            <w:tcW w:w="0" w:type="auto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4" w:tgtFrame="_blank" w:tooltip="Свидетельство о государственной регистрации (pdf) (1 MB)" w:history="1">
              <w:r w:rsidRPr="000E3F6E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0E3F6E" w:rsidRPr="000E3F6E" w:rsidTr="000E3F6E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0E3F6E" w:rsidRPr="000E3F6E" w:rsidTr="000E3F6E">
        <w:trPr>
          <w:tblCellSpacing w:w="15" w:type="dxa"/>
          <w:jc w:val="center"/>
        </w:trPr>
        <w:tc>
          <w:tcPr>
            <w:tcW w:w="0" w:type="auto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0E3F6E" w:rsidRPr="000E3F6E" w:rsidRDefault="000E3F6E" w:rsidP="000E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F6E" w:rsidRPr="000E3F6E" w:rsidRDefault="000E3F6E" w:rsidP="000E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3F6E" w:rsidRPr="000E3F6E" w:rsidTr="000E3F6E">
        <w:trPr>
          <w:tblCellSpacing w:w="15" w:type="dxa"/>
          <w:jc w:val="center"/>
        </w:trPr>
        <w:tc>
          <w:tcPr>
            <w:tcW w:w="0" w:type="auto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Лакируемая поверхность должна быть сухой, температура воздуха и лакируемого объекта выше +5</w:t>
            </w:r>
            <w:proofErr w:type="gramStart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менее 80%.</w:t>
            </w:r>
          </w:p>
        </w:tc>
      </w:tr>
      <w:tr w:rsidR="000E3F6E" w:rsidRPr="000E3F6E" w:rsidTr="000E3F6E">
        <w:trPr>
          <w:tblCellSpacing w:w="15" w:type="dxa"/>
          <w:jc w:val="center"/>
        </w:trPr>
        <w:tc>
          <w:tcPr>
            <w:tcW w:w="0" w:type="auto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 xml:space="preserve">Новая деревянная поверхность: </w:t>
            </w: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Очистить поверхность от пыли и грязи. </w:t>
            </w: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br/>
              <w:t xml:space="preserve">Ранее лакированная поверхность: </w:t>
            </w: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Вымыть поверхность моющим раствором, например, раствором "</w:t>
            </w:r>
            <w:proofErr w:type="spellStart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" или "</w:t>
            </w:r>
            <w:proofErr w:type="spellStart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Техопесу</w:t>
            </w:r>
            <w:proofErr w:type="spellEnd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", тщательно промыть водой. Удалить старый лак скребком. Поверхность отшлифовать, пыль от шлифовки удалить.</w:t>
            </w:r>
          </w:p>
        </w:tc>
      </w:tr>
      <w:tr w:rsidR="000E3F6E" w:rsidRPr="000E3F6E" w:rsidTr="000E3F6E">
        <w:trPr>
          <w:tblCellSpacing w:w="15" w:type="dxa"/>
          <w:jc w:val="center"/>
        </w:trPr>
        <w:tc>
          <w:tcPr>
            <w:tcW w:w="0" w:type="auto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Лакирование</w:t>
            </w:r>
          </w:p>
        </w:tc>
        <w:tc>
          <w:tcPr>
            <w:tcW w:w="0" w:type="auto"/>
            <w:gridSpan w:val="2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 xml:space="preserve">Лак тщательно перемешивать перед применением. Произвести контрольную лакировку на отдельной доске или незаметном участке, для проверки правильного оттенка. Если оттенок лака слишком темный, его можно разбавить </w:t>
            </w:r>
            <w:proofErr w:type="spellStart"/>
            <w:proofErr w:type="gramStart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proofErr w:type="gramEnd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 xml:space="preserve"> 1050. Нанести лак "</w:t>
            </w:r>
            <w:proofErr w:type="spellStart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Петсилакка</w:t>
            </w:r>
            <w:proofErr w:type="spellEnd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 xml:space="preserve">" в 1-3 слоя, в зависимости от требуемой степени насыщенности оттенка. Если лак слишком темный, его можно осветлить, добавив глянцевый лак "Уника </w:t>
            </w:r>
            <w:proofErr w:type="spellStart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" или разбавив "</w:t>
            </w:r>
            <w:proofErr w:type="spellStart"/>
            <w:proofErr w:type="gramStart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proofErr w:type="gramEnd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 xml:space="preserve"> 1050". </w:t>
            </w:r>
          </w:p>
        </w:tc>
      </w:tr>
      <w:tr w:rsidR="000E3F6E" w:rsidRPr="000E3F6E" w:rsidTr="000E3F6E">
        <w:trPr>
          <w:tblCellSpacing w:w="15" w:type="dxa"/>
          <w:jc w:val="center"/>
        </w:trPr>
        <w:tc>
          <w:tcPr>
            <w:tcW w:w="0" w:type="auto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Рабочие </w:t>
            </w:r>
            <w:proofErr w:type="spellStart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иснтрументы</w:t>
            </w:r>
            <w:proofErr w:type="spellEnd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 xml:space="preserve"> промыть </w:t>
            </w:r>
            <w:proofErr w:type="spellStart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 xml:space="preserve"> или моющим средством "</w:t>
            </w:r>
            <w:proofErr w:type="spellStart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0E3F6E" w:rsidRPr="000E3F6E" w:rsidTr="000E3F6E">
        <w:trPr>
          <w:tblCellSpacing w:w="15" w:type="dxa"/>
          <w:jc w:val="center"/>
        </w:trPr>
        <w:tc>
          <w:tcPr>
            <w:tcW w:w="0" w:type="auto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 xml:space="preserve">Избегать применения моющих средств и сильной очистки </w:t>
            </w:r>
            <w:proofErr w:type="spellStart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свежелакированной</w:t>
            </w:r>
            <w:proofErr w:type="spellEnd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поверхности, так как свежее покрытие достигает своей окончательной твердости и стойкости в течение </w:t>
            </w:r>
            <w:proofErr w:type="spellStart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 xml:space="preserve">. одного месяца после окраски. В случае необходимости, для очистки покрытия в данный период можно применить легкую очистку влажной мягкой тканью. </w:t>
            </w: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Примерно через месяц после окраски готовое покрытие можно очищать нейтральными (</w:t>
            </w:r>
            <w:proofErr w:type="spellStart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 xml:space="preserve"> 6-8) моющими средствами с помощью мягкой ткани или губки. Особенно грязные поверхности можно очищать слабыми щелочными моющими средствами (</w:t>
            </w:r>
            <w:proofErr w:type="spellStart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 xml:space="preserve"> 8-10). После очистки поверхность необходимо вымыть тщательно чистой водой.</w:t>
            </w:r>
          </w:p>
        </w:tc>
      </w:tr>
      <w:tr w:rsidR="000E3F6E" w:rsidRPr="000E3F6E" w:rsidTr="000E3F6E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0E3F6E" w:rsidRPr="000E3F6E" w:rsidTr="000E3F6E">
        <w:trPr>
          <w:tblCellSpacing w:w="15" w:type="dxa"/>
          <w:jc w:val="center"/>
        </w:trPr>
        <w:tc>
          <w:tcPr>
            <w:tcW w:w="0" w:type="auto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Содержит алифатический </w:t>
            </w:r>
            <w:proofErr w:type="spellStart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скипидар. ВОСПЛАМЕНЯЮЩЕЕСЯ ВЕЩЕСТВО. ПРОДОЛЖИТЕЛЬНЫЙ КОНТАКТ С КОЖЕЙ МОЖЕТ ВЫЗЫВАТЬ АЛЛЕРГИЧЕСКУЮ РЕАКЦИЮ. Не вдыхать паров растворителей и красочной пыли от распыления. Организовать эффективный воздухообмен. Носить защитные перчатки. На лак имеется паспорт техники </w:t>
            </w:r>
            <w:proofErr w:type="spellStart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5" w:tgtFrame="_blank" w:tooltip="Паспорт техники безопасности (pdf) (264.6 KB)" w:history="1">
              <w:r w:rsidRPr="000E3F6E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0E3F6E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0E3F6E" w:rsidRPr="000E3F6E" w:rsidTr="000E3F6E">
        <w:trPr>
          <w:tblCellSpacing w:w="15" w:type="dxa"/>
          <w:jc w:val="center"/>
        </w:trPr>
        <w:tc>
          <w:tcPr>
            <w:tcW w:w="0" w:type="auto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0" cy="438150"/>
                  <wp:effectExtent l="19050" t="0" r="0" b="0"/>
                  <wp:docPr id="12" name="Рисунок 12" descr="Раздражающее веще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аздражающее вещест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br/>
              <w:t>Раздражающее вещество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E3F6E" w:rsidRPr="000E3F6E" w:rsidRDefault="000E3F6E" w:rsidP="000E3F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0E3F6E" w:rsidRPr="000E3F6E" w:rsidTr="000E3F6E">
        <w:trPr>
          <w:tblCellSpacing w:w="15" w:type="dxa"/>
          <w:jc w:val="center"/>
        </w:trPr>
        <w:tc>
          <w:tcPr>
            <w:tcW w:w="0" w:type="auto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водоемы и в почву. Жидкие остатки передать </w:t>
            </w:r>
            <w:proofErr w:type="gramStart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Опасность самовоспламенения! Пропитанные продуктом тряпки, ветошь, шлифовальная пыль и осевший туман от распыления могут самовоспламениться. Данные отходы необходимо до уничтожения хранить </w:t>
            </w:r>
            <w:proofErr w:type="gramStart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смоченными</w:t>
            </w:r>
            <w:proofErr w:type="gramEnd"/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 xml:space="preserve"> в воде, просушить на открытом воздухе либо незамедлительно сжечь. </w:t>
            </w:r>
          </w:p>
        </w:tc>
      </w:tr>
      <w:tr w:rsidR="000E3F6E" w:rsidRPr="000E3F6E" w:rsidTr="000E3F6E">
        <w:trPr>
          <w:tblCellSpacing w:w="15" w:type="dxa"/>
          <w:jc w:val="center"/>
        </w:trPr>
        <w:tc>
          <w:tcPr>
            <w:tcW w:w="0" w:type="auto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E3F6E">
              <w:rPr>
                <w:rFonts w:ascii="Verdana" w:eastAsia="Times New Roman" w:hAnsi="Verdana" w:cs="Times New Roman"/>
                <w:sz w:val="18"/>
                <w:szCs w:val="18"/>
              </w:rPr>
              <w:t>VAK/ADR 3 III</w:t>
            </w:r>
          </w:p>
        </w:tc>
      </w:tr>
      <w:tr w:rsidR="000E3F6E" w:rsidRPr="000E3F6E" w:rsidTr="000E3F6E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0E3F6E" w:rsidRPr="000E3F6E" w:rsidRDefault="000E3F6E" w:rsidP="000E3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64492F" w:rsidRDefault="0064492F"/>
    <w:sectPr w:rsidR="0064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F6E"/>
    <w:rsid w:val="000E3F6E"/>
    <w:rsid w:val="0064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3F6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E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6714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362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75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46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48887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8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981602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1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gif"/><Relationship Id="rId1" Type="http://schemas.openxmlformats.org/officeDocument/2006/relationships/styles" Target="styles.xml"/><Relationship Id="rId6" Type="http://schemas.openxmlformats.org/officeDocument/2006/relationships/hyperlink" Target="http://www.tikkurila.ru/files/5001/petsilakka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files/2777/PETSILAKKA_005-0020-0023.pdf" TargetMode="External"/><Relationship Id="rId10" Type="http://schemas.openxmlformats.org/officeDocument/2006/relationships/image" Target="media/image5.gif"/><Relationship Id="rId4" Type="http://schemas.openxmlformats.org/officeDocument/2006/relationships/hyperlink" Target="http://www.tikkurila.ru/files/5001/petsilakka.jpg" TargetMode="External"/><Relationship Id="rId9" Type="http://schemas.openxmlformats.org/officeDocument/2006/relationships/image" Target="media/image4.gif"/><Relationship Id="rId14" Type="http://schemas.openxmlformats.org/officeDocument/2006/relationships/hyperlink" Target="http://www.tikkurila.ru/files/4842/Petcilakka_Dub_Petcilakka_maxagon_Petcilakka_Orex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3792</Characters>
  <Application>Microsoft Office Word</Application>
  <DocSecurity>0</DocSecurity>
  <Lines>31</Lines>
  <Paragraphs>8</Paragraphs>
  <ScaleCrop>false</ScaleCrop>
  <Company>ООО "БалтМостПроект"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2012-07-09T09:14:00Z</dcterms:created>
  <dcterms:modified xsi:type="dcterms:W3CDTF">2012-07-09T09:14:00Z</dcterms:modified>
</cp:coreProperties>
</file>