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04"/>
        <w:gridCol w:w="5170"/>
        <w:gridCol w:w="1671"/>
      </w:tblGrid>
      <w:tr w:rsidR="00D75F83" w:rsidRPr="00D75F83" w:rsidTr="00D75F83">
        <w:trPr>
          <w:gridAfter w:val="1"/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ТЕХНИЧЕСКАЯ СПЕЦИФИКАЦИЯ</w:t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  <w:t>20.12.2011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120" w:line="240" w:lineRule="auto"/>
              <w:jc w:val="center"/>
              <w:outlineLvl w:val="2"/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</w:pPr>
            <w:proofErr w:type="spellStart"/>
            <w:r w:rsidRPr="00D75F8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>Яссяпласт</w:t>
            </w:r>
            <w:proofErr w:type="spellEnd"/>
            <w:r w:rsidRPr="00D75F83">
              <w:rPr>
                <w:rFonts w:ascii="Trebuchet MS" w:eastAsia="Times New Roman" w:hAnsi="Trebuchet MS" w:cs="Times New Roman"/>
                <w:color w:val="6E6A44"/>
                <w:sz w:val="24"/>
                <w:szCs w:val="24"/>
              </w:rPr>
              <w:t xml:space="preserve"> 20 ремонтная краска</w:t>
            </w:r>
          </w:p>
        </w:tc>
        <w:tc>
          <w:tcPr>
            <w:tcW w:w="0" w:type="auto"/>
            <w:vMerge w:val="restart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color w:val="707233"/>
                <w:sz w:val="18"/>
                <w:szCs w:val="18"/>
              </w:rPr>
              <w:drawing>
                <wp:inline distT="0" distB="0" distL="0" distR="0">
                  <wp:extent cx="952500" cy="952500"/>
                  <wp:effectExtent l="19050" t="0" r="0" b="0"/>
                  <wp:docPr id="1" name="Рисунок 1" descr="Яссяпласт 20 ремонтная краска">
                    <a:hlinkClick xmlns:a="http://schemas.openxmlformats.org/drawingml/2006/main" r:id="rId4" tooltip="&quot;Яссяпласт 20 ремонтная краска (jpg) (38.9 KB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ссяпласт 20 ремонтная краска">
                            <a:hlinkClick r:id="rId4" tooltip="&quot;Яссяпласт 20 ремонтная краска (jpg) (38.9 KB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6" w:tooltip="Яссяпласт 20 ремонтная краска (jpg) (38.9 KB)" w:history="1">
              <w:r>
                <w:rPr>
                  <w:rFonts w:ascii="Verdana" w:eastAsia="Times New Roman" w:hAnsi="Verdana" w:cs="Times New Roman"/>
                  <w:noProof/>
                  <w:color w:val="999999"/>
                  <w:sz w:val="18"/>
                  <w:szCs w:val="18"/>
                </w:rPr>
                <w:drawing>
                  <wp:inline distT="0" distB="0" distL="0" distR="0">
                    <wp:extent cx="142875" cy="114300"/>
                    <wp:effectExtent l="19050" t="0" r="9525" b="0"/>
                    <wp:docPr id="2" name="Рисунок 2" descr="http://www.tikkurila.ru/images/magnify.gif">
                      <a:hlinkClick xmlns:a="http://schemas.openxmlformats.org/drawingml/2006/main" r:id="rId6" tooltip="&quot;Яссяпласт 20 ремонтная краска (jpg) (38.9 KB)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http://www.tikkurila.ru/images/magnify.gif">
                              <a:hlinkClick r:id="rId6" tooltip="&quot;Яссяпласт 20 ремонтная краска (jpg) (38.9 KB)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2875" cy="114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D75F83">
                <w:rPr>
                  <w:rFonts w:ascii="Verdana" w:eastAsia="Times New Roman" w:hAnsi="Verdana" w:cs="Times New Roman"/>
                  <w:color w:val="999999"/>
                  <w:sz w:val="18"/>
                  <w:szCs w:val="18"/>
                </w:rPr>
                <w:t> Увеличить</w:t>
              </w:r>
            </w:hyperlink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8"/>
              </w:rPr>
              <w:t>ТИП</w:t>
            </w:r>
          </w:p>
        </w:tc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Водоразбавляемая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акрилатная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краска, не содержащая растворителей.</w:t>
            </w:r>
          </w:p>
        </w:tc>
        <w:tc>
          <w:tcPr>
            <w:tcW w:w="0" w:type="auto"/>
            <w:vMerge/>
            <w:vAlign w:val="center"/>
            <w:hideMark/>
          </w:tcPr>
          <w:p w:rsidR="00D75F83" w:rsidRPr="00D75F83" w:rsidRDefault="00D75F83" w:rsidP="00D75F8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8"/>
              </w:rPr>
              <w:t>ОБЛАСТЬ ПРИМЕНЕНИЯ</w:t>
            </w:r>
          </w:p>
        </w:tc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gram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Предназначена</w:t>
            </w:r>
            <w:proofErr w:type="gram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для первичной и ремонтной окраски оштукатуренных, бетонных, зашпатлеванных поверхностей, гипсовых, древесноволокнистых и древесностружечных плит внутри здания.</w:t>
            </w:r>
          </w:p>
        </w:tc>
        <w:tc>
          <w:tcPr>
            <w:tcW w:w="0" w:type="auto"/>
            <w:vMerge/>
            <w:vAlign w:val="center"/>
            <w:hideMark/>
          </w:tcPr>
          <w:p w:rsidR="00D75F83" w:rsidRPr="00D75F83" w:rsidRDefault="00D75F83" w:rsidP="00D75F8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8"/>
              </w:rPr>
              <w:t>ОБЪЕКТЫ ПРИМЕНЕНИЯ</w:t>
            </w:r>
          </w:p>
        </w:tc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Применяется для окраски стен и потолков внутренних помещений, поверхности которых требуют высокой стойкости к износу и мытью, например, лестничные клетки, общественные помещения с высокой степенью нагрузки.</w:t>
            </w:r>
          </w:p>
        </w:tc>
        <w:tc>
          <w:tcPr>
            <w:tcW w:w="0" w:type="auto"/>
            <w:vMerge/>
            <w:vAlign w:val="center"/>
            <w:hideMark/>
          </w:tcPr>
          <w:p w:rsidR="00D75F83" w:rsidRPr="00D75F83" w:rsidRDefault="00D75F83" w:rsidP="00D75F8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5" style="width:0;height:.75pt" o:hralign="center" o:hrstd="t" o:hr="t" fillcolor="#aca899" stroked="f"/>
              </w:pic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8"/>
              </w:rPr>
              <w:t>ТЕХНИЧЕСКИЕ ДАННЫЕ</w:t>
            </w:r>
          </w:p>
        </w:tc>
        <w:tc>
          <w:tcPr>
            <w:tcW w:w="0" w:type="auto"/>
            <w:vAlign w:val="center"/>
            <w:hideMark/>
          </w:tcPr>
          <w:p w:rsidR="00D75F83" w:rsidRPr="00D75F83" w:rsidRDefault="00D75F83" w:rsidP="00D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F83" w:rsidRPr="00D75F83" w:rsidRDefault="00D75F83" w:rsidP="00D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4" name="Рисунок 4" descr="ЛКМ для внутренних стен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ЛКМ для внутренних стен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5" name="Рисунок 5" descr="ЛКМ для потолка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ЛКМ для потолка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1076325" cy="419100"/>
                  <wp:effectExtent l="19050" t="0" r="9525" b="0"/>
                  <wp:docPr id="6" name="Рисунок 6" descr="Полуматов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луматов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7" name="Рисунок 7" descr="Водоразбавляемые ЛК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Водоразбавляемые ЛК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8" name="Рисунок 8" descr="Наносить валико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Наносить валико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9" name="Рисунок 9" descr="Наносить распылением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Наносить распылением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0" name="Рисунок 10" descr="Наносить кистью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Наносить кистью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1" name="Рисунок 11" descr="Расход на шероховат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Расход на шероховат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F83" w:rsidRPr="00D75F83" w:rsidRDefault="00D75F83" w:rsidP="00D75F8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5</w:t>
            </w:r>
          </w:p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noProof/>
                <w:sz w:val="18"/>
                <w:szCs w:val="18"/>
              </w:rPr>
              <w:drawing>
                <wp:inline distT="0" distB="0" distL="0" distR="0">
                  <wp:extent cx="419100" cy="419100"/>
                  <wp:effectExtent l="19050" t="0" r="0" b="0"/>
                  <wp:docPr id="12" name="Рисунок 12" descr="Расход на гладкую поверхност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Расход на гладкую поверхност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5F83" w:rsidRPr="00D75F83" w:rsidRDefault="00D75F83" w:rsidP="00D75F83">
            <w:pPr>
              <w:spacing w:after="45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5"/>
                <w:szCs w:val="15"/>
              </w:rPr>
              <w:t>11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Базис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A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Цвета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Колеруется в светлые цвета гаммы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Тиккурила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Симфония". Колерованный продукт содержит небольшое количество растворителей.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Степень блеска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Полуматовая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Класс эмиссии строительного материала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M1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Расход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На впитывающие поверхности – 5-7 м²/л.</w:t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На 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невпитывающие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поверхности – 9-11 м²/л.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Тара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18 л.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Растворитель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Вода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Способ нанесения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75F8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Наносится валиком, кистью или распылением.</w:t>
            </w:r>
          </w:p>
          <w:p w:rsidR="00D75F83" w:rsidRPr="00D75F83" w:rsidRDefault="00D75F83" w:rsidP="00D75F83">
            <w:pPr>
              <w:spacing w:after="0" w:line="210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</w:pPr>
            <w:r w:rsidRPr="00D75F8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При распылении под высоким давлением применять сопло 0,015" – 0,021"</w:t>
            </w:r>
            <w:proofErr w:type="gramStart"/>
            <w:r w:rsidRPr="00D75F8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</w:t>
            </w:r>
            <w:proofErr w:type="gramEnd"/>
            <w:r w:rsidRPr="00D75F8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 xml:space="preserve"> </w:t>
            </w:r>
            <w:proofErr w:type="gramStart"/>
            <w:r w:rsidRPr="00D75F8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т</w:t>
            </w:r>
            <w:proofErr w:type="gramEnd"/>
            <w:r w:rsidRPr="00D75F83">
              <w:rPr>
                <w:rFonts w:ascii="Verdana" w:eastAsia="Times New Roman" w:hAnsi="Verdana" w:cs="Times New Roman"/>
                <w:color w:val="000000"/>
                <w:sz w:val="17"/>
                <w:szCs w:val="17"/>
              </w:rPr>
              <w:t>.е. 0,380-0,530 мм. Допускается разбавлять до 5 % по объему.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Время высыхания, +23 °C при 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отн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. 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влажн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. воздуха 50 %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От пыли – 30 мин.</w:t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  <w:t>Следующий слой можно наносить через 1-2 часа.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Стойкость к мытью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Выдерживает более 5 000 проходов щеткой.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Стойкость к химикатам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Выдерживает чистящие химикаты и слабые растворители, например, 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уайт-спирит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Термостойкость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85ºС.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Стойкость к мокрому трению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1 класс по ISO 11998.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Сухой остаток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. 41 %, в зависимости от оттенка.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Плотность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. 1,3 кг/л.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Хранение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Защищать от мороза!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Код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898 6001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Свидетельство о государственной регистрации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7" w:tgtFrame="_blank" w:tooltip="Свидетельство о государственной регистрации (pdf) (307.4 KB)" w:history="1">
              <w:r w:rsidRPr="00D75F8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Свидетельство о государственной регистрации</w:t>
              </w:r>
            </w:hyperlink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lastRenderedPageBreak/>
              <w:t>Сертификат пожарной безопасности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hyperlink r:id="rId18" w:tgtFrame="_blank" w:tooltip="Пожарный сертификат (pdf) (2.3 MB)" w:history="1">
              <w:r w:rsidRPr="00D75F8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Пожарный сертификат</w:t>
              </w:r>
            </w:hyperlink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6" style="width:0;height:.75pt" o:hralign="center" o:hrstd="t" o:hr="t" fillcolor="#aca899" stroked="f"/>
              </w:pic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8"/>
              </w:rPr>
              <w:t>ИНСТРУКЦИЯ ПО ИСПОЛЬЗОВАНИЮ ИЗДЕЛИЯ</w:t>
            </w:r>
          </w:p>
        </w:tc>
        <w:tc>
          <w:tcPr>
            <w:tcW w:w="0" w:type="auto"/>
            <w:vAlign w:val="center"/>
            <w:hideMark/>
          </w:tcPr>
          <w:p w:rsidR="00D75F83" w:rsidRPr="00D75F83" w:rsidRDefault="00D75F83" w:rsidP="00D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75F83" w:rsidRPr="00D75F83" w:rsidRDefault="00D75F83" w:rsidP="00D75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Условия при обработке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Окрашиваемая поверхность должна быть сухой. Температура воздуха и подложки должна быть не ниже +5</w:t>
            </w:r>
            <w:proofErr w:type="gram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ºС</w:t>
            </w:r>
            <w:proofErr w:type="gram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и относительная влажность воздуха – не выше 80 %.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Предварительная подготовка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Неокрашенная поверхность: </w:t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  <w:t>Очистить поверхность от грязи и пыли. При необходимости, выровнять поверхность подходящей шпатлевкой серии "Престо" или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отшлифовать, пыль удалить. Загрунтовать грунтовкой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3". </w:t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  <w:t xml:space="preserve">Окрашенная ранее поверхность: </w:t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Поверхность вымыть моющим средством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Маалипесу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", затем тщательно промыть чистой водой. Неровности выровнять подходящей шпатлевкой серии "Престо" или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Престонит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". Высохшую поверхность отшлифовать и пыль удалить. Окрасить краской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20" или, при необходимости, сначала загрунтовать грунтовкой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3".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Окраска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Краску тщательно перемешать перед применением. При необходимости, разбавить водой. Наносить валиком, кистью или распылением в 1–2 слоя.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Очистка инструментов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Удалить лишнюю краску с инструмента и незамедлительно промыть водой. Успевшие подсохнуть остатки краски удалить моющим средством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Пенсселипесу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".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Уход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Избегать применения моющих средств и сильной очистки свежеокрашенной поверхности, так как свежее покрытие достигает своей окончательной твердости и стойкости в течение 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ок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. одного месяца после окраски. При необходимости очистки поверхности в данный период можно применить легкую очистку влажной мягкой тканью. </w:t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br/>
              <w:t>Примерно через месяц после окраски готовое покрытие можно очищать нейтральными (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6–8) моющими средствами с помощью мягкой ткани или губки. Особенно грязные поверхности можно очищать слабыми щелочными моющими средствами (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pH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8–10) с помощью мягкой ткани или губки. Соблюдать инструкций производителя моющего средства. После очистки поверхность необходимо тщательно вымыть чистой водой.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Ремонтная окраска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Ремонтную окраску поверхности, окрашенной ранее краской "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Яссяпласт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20", можно производить 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водоразбавляемой</w:t>
            </w:r>
            <w:proofErr w:type="spell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краской того же типа. См. пункт "Предварительная подготовка".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pict>
                <v:rect id="_x0000_i1027" style="width:0;height:.75pt" o:hralign="center" o:hrstd="t" o:hr="t" fillcolor="#aca899" stroked="f"/>
              </w:pic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ТРУДА</w:t>
            </w: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Состав продукта не предполагает предупредительной маркировки. Работу выполнить с большой осторожностью и тщательностью, избегая лишнего, ненужного соприкосновения с материалом. На продукт имеется паспорт техники </w:t>
            </w:r>
            <w:proofErr w:type="spell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безопасности.</w:t>
            </w:r>
            <w:hyperlink r:id="rId19" w:tgtFrame="_blank" w:tooltip="Паспорт техники безопасности (pdf) (112.4 KB)" w:history="1">
              <w:r w:rsidRPr="00D75F8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>Паспорт</w:t>
              </w:r>
              <w:proofErr w:type="spellEnd"/>
              <w:r w:rsidRPr="00D75F83">
                <w:rPr>
                  <w:rFonts w:ascii="Verdana" w:eastAsia="Times New Roman" w:hAnsi="Verdana" w:cs="Times New Roman"/>
                  <w:color w:val="707233"/>
                  <w:sz w:val="18"/>
                  <w:szCs w:val="18"/>
                  <w:u w:val="single"/>
                </w:rPr>
                <w:t xml:space="preserve"> техники безопасности</w:t>
              </w:r>
            </w:hyperlink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D75F83" w:rsidRPr="00D75F83" w:rsidRDefault="00D75F83" w:rsidP="00D75F83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8"/>
              </w:rPr>
              <w:t>ОХРАНА ОКРУЖАЮЩЕЙ СРЕДЫ И УТИЛИЗАЦИЯ ОТХОДОВ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Не выливать в канализацию, водоем или в почву. Жидкие остатки передать </w:t>
            </w:r>
            <w:proofErr w:type="gramStart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в место сбора</w:t>
            </w:r>
            <w:proofErr w:type="gramEnd"/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 xml:space="preserve"> вредных отходов. Пустые, сухие банки можно вывезти на свалку – соблюдать местное законодательство. 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b/>
                <w:bCs/>
                <w:sz w:val="18"/>
              </w:rPr>
              <w:t>ТРАНСПОРТИРОВКА</w:t>
            </w:r>
          </w:p>
        </w:tc>
        <w:tc>
          <w:tcPr>
            <w:tcW w:w="0" w:type="auto"/>
            <w:gridSpan w:val="2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D75F83">
              <w:rPr>
                <w:rFonts w:ascii="Verdana" w:eastAsia="Times New Roman" w:hAnsi="Verdana" w:cs="Times New Roman"/>
                <w:sz w:val="18"/>
                <w:szCs w:val="18"/>
              </w:rPr>
              <w:t>VAK/ADR -</w:t>
            </w:r>
          </w:p>
        </w:tc>
      </w:tr>
      <w:tr w:rsidR="00D75F83" w:rsidRPr="00D75F83" w:rsidTr="00D75F83">
        <w:trPr>
          <w:tblCellSpacing w:w="15" w:type="dxa"/>
          <w:jc w:val="center"/>
        </w:trPr>
        <w:tc>
          <w:tcPr>
            <w:tcW w:w="0" w:type="auto"/>
            <w:gridSpan w:val="3"/>
            <w:hideMark/>
          </w:tcPr>
          <w:p w:rsidR="00D75F83" w:rsidRPr="00D75F83" w:rsidRDefault="00D75F83" w:rsidP="00D75F8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</w:tbl>
    <w:p w:rsidR="00400DD5" w:rsidRDefault="00400DD5"/>
    <w:sectPr w:rsidR="00400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5F83"/>
    <w:rsid w:val="00400DD5"/>
    <w:rsid w:val="00D75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5F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7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6089">
              <w:marLeft w:val="435"/>
              <w:marRight w:val="4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7656">
                  <w:marLeft w:val="300"/>
                  <w:marRight w:val="315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38619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969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2160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3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7913682">
                          <w:marLeft w:val="0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5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18" Type="http://schemas.openxmlformats.org/officeDocument/2006/relationships/hyperlink" Target="http://www.tikkurila.ru/files/4344/No._18.pdf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hyperlink" Target="http://www.tikkurila.ru/files/5241/Assaplast7_20.pd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11.gi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ikkurila.ru/files/542/Assaplast_20.jpg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1.jpeg"/><Relationship Id="rId15" Type="http://schemas.openxmlformats.org/officeDocument/2006/relationships/image" Target="media/image10.gif"/><Relationship Id="rId10" Type="http://schemas.openxmlformats.org/officeDocument/2006/relationships/image" Target="media/image5.gif"/><Relationship Id="rId19" Type="http://schemas.openxmlformats.org/officeDocument/2006/relationships/hyperlink" Target="http://www.tikkurila.ru/files/2845/ASSAPLAST_2_3_7_20_MSDS_RUS.pdf" TargetMode="External"/><Relationship Id="rId4" Type="http://schemas.openxmlformats.org/officeDocument/2006/relationships/hyperlink" Target="http://www.tikkurila.ru/files/542/Assaplast_20.jpg" TargetMode="Externa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724</Words>
  <Characters>4133</Characters>
  <Application>Microsoft Office Word</Application>
  <DocSecurity>0</DocSecurity>
  <Lines>34</Lines>
  <Paragraphs>9</Paragraphs>
  <ScaleCrop>false</ScaleCrop>
  <Company>ООО "БалтМостПроект"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krivonogov</dc:creator>
  <cp:keywords/>
  <dc:description/>
  <cp:lastModifiedBy>krivonogov</cp:lastModifiedBy>
  <cp:revision>2</cp:revision>
  <dcterms:created xsi:type="dcterms:W3CDTF">2012-07-09T10:17:00Z</dcterms:created>
  <dcterms:modified xsi:type="dcterms:W3CDTF">2012-07-09T10:17:00Z</dcterms:modified>
</cp:coreProperties>
</file>