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5118"/>
        <w:gridCol w:w="1655"/>
      </w:tblGrid>
      <w:tr w:rsidR="00E603C1" w:rsidRPr="00E603C1" w:rsidTr="00E603C1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E603C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Масляная грунтовка</w:t>
            </w:r>
          </w:p>
        </w:tc>
        <w:tc>
          <w:tcPr>
            <w:tcW w:w="0" w:type="auto"/>
            <w:vMerge w:val="restart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асляная грунтовка">
                    <a:hlinkClick xmlns:a="http://schemas.openxmlformats.org/drawingml/2006/main" r:id="rId4" tooltip="&quot;Масляная грунтовка (jpg) (20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яная грунтовка">
                            <a:hlinkClick r:id="rId4" tooltip="&quot;Масляная грунтовка (jpg) (20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асляная грунтовка (jpg) (20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асляная грунтовка (jpg) (20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асляная грунтовка (jpg) (20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603C1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Алкидная грунтовка на масляной основе для наружной окраски очищенных до голого дерева деревянных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E603C1" w:rsidRPr="00E603C1" w:rsidRDefault="00E603C1" w:rsidP="00E603C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грунтования очищенных до голого дерева деревянных поверхностей перед покрывной окраской масляными или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акрилатными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красками. Применяется также для грунтования ранее окрашенных масляными красками поверхностей. </w:t>
            </w:r>
          </w:p>
        </w:tc>
        <w:tc>
          <w:tcPr>
            <w:tcW w:w="0" w:type="auto"/>
            <w:vMerge/>
            <w:vAlign w:val="center"/>
            <w:hideMark/>
          </w:tcPr>
          <w:p w:rsidR="00E603C1" w:rsidRPr="00E603C1" w:rsidRDefault="00E603C1" w:rsidP="00E603C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наружных стен, оконных рам, перил и заборов.</w:t>
            </w:r>
          </w:p>
        </w:tc>
        <w:tc>
          <w:tcPr>
            <w:tcW w:w="0" w:type="auto"/>
            <w:vMerge/>
            <w:vAlign w:val="center"/>
            <w:hideMark/>
          </w:tcPr>
          <w:p w:rsidR="00E603C1" w:rsidRPr="00E603C1" w:rsidRDefault="00E603C1" w:rsidP="00E603C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E603C1" w:rsidRPr="00E603C1" w:rsidRDefault="00E603C1" w:rsidP="00E6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03C1" w:rsidRPr="00E603C1" w:rsidRDefault="00E603C1" w:rsidP="00E6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C1" w:rsidRPr="00E603C1" w:rsidRDefault="00E603C1" w:rsidP="00E603C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C1" w:rsidRPr="00E603C1" w:rsidRDefault="00E603C1" w:rsidP="00E603C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AP и C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Белый базис АР и базис</w:t>
            </w:r>
            <w:proofErr w:type="gram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С</w:t>
            </w:r>
            <w:proofErr w:type="gram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можно колеровать по рецептуре для наружной окраски в оттенок, близкий к цвету покрывной краски. Цвет не является точным.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На пиленую поверхность 5-8 м²/л.</w:t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строганую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поверхность и бревна 8-10 м²/л.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0,9 л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Следующий слой можно наносить через сутки. На время высыхания влияют условия окраски,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впитываемость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подложки и толщина слоя.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56 %.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1,4 кг/л.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В неплотно закрытой или неполной таре грунтовка не выдерживает длительного хранения.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206-серия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Свидетельство о государственной регистрации (pdf) (174.8 KB)" w:history="1">
              <w:r w:rsidRPr="00E603C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E603C1" w:rsidRPr="00E603C1" w:rsidRDefault="00E603C1" w:rsidP="00E6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03C1" w:rsidRPr="00E603C1" w:rsidRDefault="00E603C1" w:rsidP="00E6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Обрабатываемая поверхность должна быть сухой, т.е.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влажнось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дерева не должна превышать 20 %. Во время обработки и высыхания грунтовки температура должна быть не ниже +5</w:t>
            </w:r>
            <w:proofErr w:type="gram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Предварительная </w:t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Неокрашенная поверхность: </w:t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Очистить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поврхность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от грязи и пыли, плесени и посторонних включений. Загрунтовать поверхность на возможно ранней стадии строительства грунтовочным составом "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". Защитить ржавеющие металлические детали противокоррозионной грунтовкой "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". Очистить сучки от смолы и защитить их лаком "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br/>
              <w:t>Удалить посторонние включения и вставшее торчком посеревшее волокно дерева скребком и металлической щеткой. Покрытые плесенью поверхности промыть составом "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Техопесу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", согласно инструкции по применению. Очищенную до голого дерева поверхность загрунтовать составом "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Грунтовку тщательно перемешать и нанести на очищенную до голого дерева поверхность в один слой. Торцевые концы древесины обработать с особой тщательностью. </w:t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Покрывную окраску рекомендуется производить как можно скорее после грунтования и не позднее, чем через 6–10 месяцев.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Рабочий инструмент промыть </w:t>
            </w:r>
            <w:proofErr w:type="spellStart"/>
            <w:proofErr w:type="gram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или средством "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gram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С</w:t>
            </w:r>
            <w:proofErr w:type="gram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одержит алифатический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толилфлуанид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ОГНЕОПАСЕН. </w:t>
            </w:r>
            <w:proofErr w:type="gram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ВРЕДЕН</w:t>
            </w:r>
            <w:proofErr w:type="gram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 ПРИ ВДЫХАНИИ. Не вдыхать паров растворителей. Организовать эффективную вентиляцию. При попадании вовнутрь незамедлительно обратиться к врачу и показать данную спецификацию или этикетку. Хранить в недоступном для детей месте. Содержит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этилметилкетоксим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толилфлуанид</w:t>
            </w:r>
            <w:proofErr w:type="spell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кобальтовые соединения. Может вызвать аллергическую реакцию. На продукт имеется паспорт техники </w:t>
            </w:r>
            <w:proofErr w:type="spell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4" w:tgtFrame="_blank" w:tooltip="Паспорт техники безопасности (pdf) (137 KB)" w:history="1">
              <w:r w:rsidRPr="00E603C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E603C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03C1" w:rsidRPr="00E603C1" w:rsidRDefault="00E603C1" w:rsidP="00E603C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ВНИМАНИЕ! Опасность самовоспламенения! Пропитанные продуктом тряпки, ветошь, шлифовальная пыль и осевший туман от распыления краски могут самовоспламеняться. Данные отходы необходимо до уничтожения хранить </w:t>
            </w:r>
            <w:proofErr w:type="gramStart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смоченными</w:t>
            </w:r>
            <w:proofErr w:type="gramEnd"/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воде, просушить на открытом воздухе либо незамедлительно сжечь. 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E603C1" w:rsidRPr="00E603C1" w:rsidTr="00E603C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603C1" w:rsidRPr="00E603C1" w:rsidRDefault="00E603C1" w:rsidP="00E60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03C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317D67" w:rsidRDefault="00317D67"/>
    <w:sectPr w:rsidR="0031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3C1"/>
    <w:rsid w:val="00317D67"/>
    <w:rsid w:val="00E6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3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53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924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5918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6949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880/Maslyanaya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623/Oljypohj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3623/Oljypohja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3622/OLJYPOHJA_OIL_PRIMER_206-_1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>ООО "БалтМостПроект"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2012-07-09T08:43:00Z</dcterms:created>
  <dcterms:modified xsi:type="dcterms:W3CDTF">2012-07-09T08:43:00Z</dcterms:modified>
</cp:coreProperties>
</file>