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5183"/>
        <w:gridCol w:w="1628"/>
      </w:tblGrid>
      <w:tr w:rsidR="006C5EA8" w:rsidRPr="006C5EA8" w:rsidTr="006C5EA8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6C5EA8" w:rsidRPr="006C5EA8" w:rsidRDefault="006C5EA8" w:rsidP="006C5E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01.01.2006</w:t>
            </w:r>
          </w:p>
        </w:tc>
      </w:tr>
      <w:tr w:rsidR="006C5EA8" w:rsidRPr="006C5EA8" w:rsidTr="006C5EA8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6C5EA8" w:rsidRPr="006C5EA8" w:rsidRDefault="006C5EA8" w:rsidP="006C5EA8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6C5EA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Новофлор</w:t>
            </w:r>
            <w:proofErr w:type="spellEnd"/>
            <w:r w:rsidRPr="006C5EA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1-К грунтовка - </w:t>
            </w:r>
            <w:proofErr w:type="spellStart"/>
            <w:r w:rsidRPr="006C5EA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Novofloor</w:t>
            </w:r>
            <w:proofErr w:type="spellEnd"/>
            <w:r w:rsidRPr="006C5EA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1-K </w:t>
            </w:r>
            <w:proofErr w:type="spellStart"/>
            <w:r w:rsidRPr="006C5EA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Primer</w:t>
            </w:r>
            <w:proofErr w:type="spellEnd"/>
            <w:r w:rsidRPr="006C5EA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Новофлор 1-К грунтовка">
                    <a:hlinkClick xmlns:a="http://schemas.openxmlformats.org/drawingml/2006/main" r:id="rId4" tooltip="&quot;Новофлор 1-К грунтовка (jpg) (31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флор 1-К грунтовка">
                            <a:hlinkClick r:id="rId4" tooltip="&quot;Новофлор 1-К грунтовка (jpg) (31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Новофлор 1-К грунтовка (jpg) (31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Новофлор 1-К грунтовка (jpg) (31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Новофлор 1-К грунтовка (jpg) (31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C5EA8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6C5EA8" w:rsidRPr="006C5EA8" w:rsidTr="006C5EA8">
        <w:trPr>
          <w:tblCellSpacing w:w="15" w:type="dxa"/>
          <w:jc w:val="center"/>
        </w:trPr>
        <w:tc>
          <w:tcPr>
            <w:tcW w:w="0" w:type="auto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 xml:space="preserve">Однокомпонентная полиуретановая грунтовка, высыхающая под воздействием влажности воздуха. </w:t>
            </w:r>
          </w:p>
        </w:tc>
        <w:tc>
          <w:tcPr>
            <w:tcW w:w="0" w:type="auto"/>
            <w:vMerge/>
            <w:vAlign w:val="center"/>
            <w:hideMark/>
          </w:tcPr>
          <w:p w:rsidR="006C5EA8" w:rsidRPr="006C5EA8" w:rsidRDefault="006C5EA8" w:rsidP="006C5E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C5EA8" w:rsidRPr="006C5EA8" w:rsidTr="006C5EA8">
        <w:trPr>
          <w:tblCellSpacing w:w="15" w:type="dxa"/>
          <w:jc w:val="center"/>
        </w:trPr>
        <w:tc>
          <w:tcPr>
            <w:tcW w:w="0" w:type="auto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грунтовочной лакировки новых и старых бетонных полов и полов балконов. В разбавленном виде "</w:t>
            </w:r>
            <w:proofErr w:type="spellStart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Новофлор</w:t>
            </w:r>
            <w:proofErr w:type="spellEnd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 xml:space="preserve"> 1-К грунтовка" хорошо впитывается в бетонную поверхность, уплотняет подложку и обеспечивает сцепление последующего покрытия с подложкой.</w:t>
            </w:r>
          </w:p>
        </w:tc>
        <w:tc>
          <w:tcPr>
            <w:tcW w:w="0" w:type="auto"/>
            <w:vMerge/>
            <w:vAlign w:val="center"/>
            <w:hideMark/>
          </w:tcPr>
          <w:p w:rsidR="006C5EA8" w:rsidRPr="006C5EA8" w:rsidRDefault="006C5EA8" w:rsidP="006C5E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C5EA8" w:rsidRPr="006C5EA8" w:rsidTr="006C5EA8">
        <w:trPr>
          <w:tblCellSpacing w:w="15" w:type="dxa"/>
          <w:jc w:val="center"/>
        </w:trPr>
        <w:tc>
          <w:tcPr>
            <w:tcW w:w="0" w:type="auto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грунтовочной лакировки новых и старых бетонных полов и полов балконов. В разбавленном виде "</w:t>
            </w:r>
            <w:proofErr w:type="spellStart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Новофлор</w:t>
            </w:r>
            <w:proofErr w:type="spellEnd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 xml:space="preserve"> 1-К грунтовка" хорошо впитывается в бетонную поверхность, уплотняет подложку и обеспечивает сцепление последующего покрытия с подложкой.</w:t>
            </w:r>
          </w:p>
        </w:tc>
        <w:tc>
          <w:tcPr>
            <w:tcW w:w="0" w:type="auto"/>
            <w:vMerge/>
            <w:vAlign w:val="center"/>
            <w:hideMark/>
          </w:tcPr>
          <w:p w:rsidR="006C5EA8" w:rsidRPr="006C5EA8" w:rsidRDefault="006C5EA8" w:rsidP="006C5E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C5EA8" w:rsidRPr="006C5EA8" w:rsidTr="006C5EA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6C5EA8" w:rsidRPr="006C5EA8" w:rsidTr="006C5EA8">
        <w:trPr>
          <w:tblCellSpacing w:w="15" w:type="dxa"/>
          <w:jc w:val="center"/>
        </w:trPr>
        <w:tc>
          <w:tcPr>
            <w:tcW w:w="0" w:type="auto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6C5EA8" w:rsidRPr="006C5EA8" w:rsidRDefault="006C5EA8" w:rsidP="006C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5EA8" w:rsidRPr="006C5EA8" w:rsidRDefault="006C5EA8" w:rsidP="006C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8" w:rsidRPr="006C5EA8" w:rsidTr="006C5EA8">
        <w:trPr>
          <w:tblCellSpacing w:w="15" w:type="dxa"/>
          <w:jc w:val="center"/>
        </w:trPr>
        <w:tc>
          <w:tcPr>
            <w:tcW w:w="0" w:type="auto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пол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пол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5" name="Рисунок 5" descr="Высокоглянце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ысокоглянце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Орган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рган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EA8" w:rsidRPr="006C5EA8" w:rsidRDefault="006C5EA8" w:rsidP="006C5EA8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6C5EA8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4</w:t>
            </w:r>
          </w:p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EA8" w:rsidRPr="006C5EA8" w:rsidRDefault="006C5EA8" w:rsidP="006C5EA8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6C5EA8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7</w:t>
            </w:r>
          </w:p>
        </w:tc>
      </w:tr>
      <w:tr w:rsidR="006C5EA8" w:rsidRPr="006C5EA8" w:rsidTr="006C5EA8">
        <w:trPr>
          <w:tblCellSpacing w:w="15" w:type="dxa"/>
          <w:jc w:val="center"/>
        </w:trPr>
        <w:tc>
          <w:tcPr>
            <w:tcW w:w="0" w:type="auto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Бесцветный.</w:t>
            </w:r>
          </w:p>
        </w:tc>
      </w:tr>
      <w:tr w:rsidR="006C5EA8" w:rsidRPr="006C5EA8" w:rsidTr="006C5EA8">
        <w:trPr>
          <w:tblCellSpacing w:w="15" w:type="dxa"/>
          <w:jc w:val="center"/>
        </w:trPr>
        <w:tc>
          <w:tcPr>
            <w:tcW w:w="0" w:type="auto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Высокоглянцевая</w:t>
            </w:r>
            <w:proofErr w:type="spellEnd"/>
          </w:p>
        </w:tc>
      </w:tr>
      <w:tr w:rsidR="006C5EA8" w:rsidRPr="006C5EA8" w:rsidTr="006C5EA8">
        <w:trPr>
          <w:tblCellSpacing w:w="15" w:type="dxa"/>
          <w:jc w:val="center"/>
        </w:trPr>
        <w:tc>
          <w:tcPr>
            <w:tcW w:w="0" w:type="auto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6C5EA8" w:rsidRPr="006C5EA8" w:rsidRDefault="006C5EA8" w:rsidP="006C5EA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4-7 м²/кг.</w:t>
            </w: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br/>
              <w:t>На расход влияют пористость поверхности и способ нанесения.</w:t>
            </w:r>
          </w:p>
        </w:tc>
      </w:tr>
      <w:tr w:rsidR="006C5EA8" w:rsidRPr="006C5EA8" w:rsidTr="006C5EA8">
        <w:trPr>
          <w:tblCellSpacing w:w="15" w:type="dxa"/>
          <w:jc w:val="center"/>
        </w:trPr>
        <w:tc>
          <w:tcPr>
            <w:tcW w:w="0" w:type="auto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3 л.</w:t>
            </w:r>
          </w:p>
        </w:tc>
      </w:tr>
      <w:tr w:rsidR="006C5EA8" w:rsidRPr="006C5EA8" w:rsidTr="006C5EA8">
        <w:trPr>
          <w:tblCellSpacing w:w="15" w:type="dxa"/>
          <w:jc w:val="center"/>
        </w:trPr>
        <w:tc>
          <w:tcPr>
            <w:tcW w:w="0" w:type="auto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растворитель </w:t>
            </w:r>
            <w:proofErr w:type="spellStart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Новофлор</w:t>
            </w:r>
            <w:proofErr w:type="spellEnd"/>
          </w:p>
        </w:tc>
      </w:tr>
      <w:tr w:rsidR="006C5EA8" w:rsidRPr="006C5EA8" w:rsidTr="006C5EA8">
        <w:trPr>
          <w:tblCellSpacing w:w="15" w:type="dxa"/>
          <w:jc w:val="center"/>
        </w:trPr>
        <w:tc>
          <w:tcPr>
            <w:tcW w:w="0" w:type="auto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 или валиком.</w:t>
            </w:r>
          </w:p>
        </w:tc>
      </w:tr>
      <w:tr w:rsidR="006C5EA8" w:rsidRPr="006C5EA8" w:rsidTr="006C5EA8">
        <w:trPr>
          <w:tblCellSpacing w:w="15" w:type="dxa"/>
          <w:jc w:val="center"/>
        </w:trPr>
        <w:tc>
          <w:tcPr>
            <w:tcW w:w="0" w:type="auto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 xml:space="preserve">От пыли – 3 часа. </w:t>
            </w: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proofErr w:type="gramStart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На</w:t>
            </w:r>
            <w:proofErr w:type="gramEnd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 xml:space="preserve"> отлип – 3,5 часа. </w:t>
            </w: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proofErr w:type="gramStart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Готовая</w:t>
            </w:r>
            <w:proofErr w:type="gramEnd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 xml:space="preserve"> к дальнейшему покрытию через 4-12 ч.</w:t>
            </w: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br/>
              <w:t>ВНИМАНИЕ! Если относительная влажность воздуха менее 50%, то высыхание замедляется.</w:t>
            </w:r>
          </w:p>
        </w:tc>
      </w:tr>
      <w:tr w:rsidR="006C5EA8" w:rsidRPr="006C5EA8" w:rsidTr="006C5EA8">
        <w:trPr>
          <w:tblCellSpacing w:w="15" w:type="dxa"/>
          <w:jc w:val="center"/>
        </w:trPr>
        <w:tc>
          <w:tcPr>
            <w:tcW w:w="0" w:type="auto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. 40%.</w:t>
            </w:r>
          </w:p>
        </w:tc>
      </w:tr>
      <w:tr w:rsidR="006C5EA8" w:rsidRPr="006C5EA8" w:rsidTr="006C5EA8">
        <w:trPr>
          <w:tblCellSpacing w:w="15" w:type="dxa"/>
          <w:jc w:val="center"/>
        </w:trPr>
        <w:tc>
          <w:tcPr>
            <w:tcW w:w="0" w:type="auto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. 1,0 кг/л.</w:t>
            </w:r>
          </w:p>
        </w:tc>
      </w:tr>
      <w:tr w:rsidR="006C5EA8" w:rsidRPr="006C5EA8" w:rsidTr="006C5EA8">
        <w:trPr>
          <w:tblCellSpacing w:w="15" w:type="dxa"/>
          <w:jc w:val="center"/>
        </w:trPr>
        <w:tc>
          <w:tcPr>
            <w:tcW w:w="0" w:type="auto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Материал реагирует с влагой воздуха и, следовательно, его следует хранить в плотно закрытой таре. Срок годности в герметически закрытой таре примерно 1 год. После открытия тары грунтовку рекомендуется использовать незамедлительно.</w:t>
            </w:r>
          </w:p>
        </w:tc>
      </w:tr>
      <w:tr w:rsidR="006C5EA8" w:rsidRPr="006C5EA8" w:rsidTr="006C5EA8">
        <w:trPr>
          <w:tblCellSpacing w:w="15" w:type="dxa"/>
          <w:jc w:val="center"/>
        </w:trPr>
        <w:tc>
          <w:tcPr>
            <w:tcW w:w="0" w:type="auto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Сертификат соответствия</w:t>
            </w:r>
          </w:p>
        </w:tc>
        <w:tc>
          <w:tcPr>
            <w:tcW w:w="0" w:type="auto"/>
            <w:gridSpan w:val="2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tgtFrame="_blank" w:tooltip="Декларация о соответствии (pdf) (183.5 KB)" w:history="1">
              <w:r w:rsidRPr="006C5EA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Декларация о соответствии</w:t>
              </w:r>
            </w:hyperlink>
          </w:p>
        </w:tc>
      </w:tr>
      <w:tr w:rsidR="006C5EA8" w:rsidRPr="006C5EA8" w:rsidTr="006C5EA8">
        <w:trPr>
          <w:tblCellSpacing w:w="15" w:type="dxa"/>
          <w:jc w:val="center"/>
        </w:trPr>
        <w:tc>
          <w:tcPr>
            <w:tcW w:w="0" w:type="auto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6" w:tgtFrame="_blank" w:tooltip="Свидетельство о государственной регистрации (pdf) (434.8 KB)" w:history="1">
              <w:r w:rsidRPr="006C5EA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6C5EA8" w:rsidRPr="006C5EA8" w:rsidTr="006C5EA8">
        <w:trPr>
          <w:tblCellSpacing w:w="15" w:type="dxa"/>
          <w:jc w:val="center"/>
        </w:trPr>
        <w:tc>
          <w:tcPr>
            <w:tcW w:w="0" w:type="auto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Сертификат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7" w:tgtFrame="_blank" w:tooltip="Пожарный сертификат (pdf) (5.1 MB)" w:history="1">
              <w:r w:rsidRPr="006C5EA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6C5EA8" w:rsidRPr="006C5EA8" w:rsidTr="006C5EA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6C5EA8" w:rsidRPr="006C5EA8" w:rsidTr="006C5EA8">
        <w:trPr>
          <w:tblCellSpacing w:w="15" w:type="dxa"/>
          <w:jc w:val="center"/>
        </w:trPr>
        <w:tc>
          <w:tcPr>
            <w:tcW w:w="0" w:type="auto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6C5EA8" w:rsidRPr="006C5EA8" w:rsidRDefault="006C5EA8" w:rsidP="006C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5EA8" w:rsidRPr="006C5EA8" w:rsidRDefault="006C5EA8" w:rsidP="006C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8" w:rsidRPr="006C5EA8" w:rsidTr="006C5EA8">
        <w:trPr>
          <w:tblCellSpacing w:w="15" w:type="dxa"/>
          <w:jc w:val="center"/>
        </w:trPr>
        <w:tc>
          <w:tcPr>
            <w:tcW w:w="0" w:type="auto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Бетонная поверхность должна быть сухой и выдержана минимум 4 недели перед покрытием. Относительная влажность бетона должна быть ниже 97%. При грунтовании и высыхании грунтовки температура воздуха, поверхности и грунтовки должна быть выше +5</w:t>
            </w:r>
            <w:proofErr w:type="gramStart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, а относительная влажность воздуха 50-90%.</w:t>
            </w:r>
          </w:p>
        </w:tc>
      </w:tr>
      <w:tr w:rsidR="006C5EA8" w:rsidRPr="006C5EA8" w:rsidTr="006C5EA8">
        <w:trPr>
          <w:tblCellSpacing w:w="15" w:type="dxa"/>
          <w:jc w:val="center"/>
        </w:trPr>
        <w:tc>
          <w:tcPr>
            <w:tcW w:w="0" w:type="auto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 xml:space="preserve">Новая бетонная поверхность: </w:t>
            </w: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Удалить цементный клей с бетонного пола шлифованием, дробеструйной очисткой или протравливанием соляной кислотой. Выбор способа очистки зависит от типа помещения. После очистки цементную пыль тщательно удалить пылесосом. Протравливание производится разбавленной соляной кислотой (одна часть </w:t>
            </w:r>
            <w:proofErr w:type="spellStart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конц</w:t>
            </w:r>
            <w:proofErr w:type="spellEnd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 xml:space="preserve">. соляной кислоты на четыре части воды). Протравленный пол промыть большим количеством воды и хорошо высушить. </w:t>
            </w: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Старый бетонный пол: </w:t>
            </w: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Пол очистить от пыли и посторонних включений. Жир, масло, химикаты и др. загрязнения удалить промывкой эмульсией или газопламенной очисткой. Старую отслаивающуюся краску удалить шлифовкой, пескоструйной (на балконах) или дробеструйной очисткой. Метод очистки выбирается в зависимости от типа помещения. Выбоины и впадины пола очистить до чистого бетона. Трещины раскрыть, например шлифовальной машиной. Посторонние включения и пыль удалить.</w:t>
            </w:r>
          </w:p>
        </w:tc>
      </w:tr>
      <w:tr w:rsidR="006C5EA8" w:rsidRPr="006C5EA8" w:rsidTr="006C5EA8">
        <w:trPr>
          <w:tblCellSpacing w:w="15" w:type="dxa"/>
          <w:jc w:val="center"/>
        </w:trPr>
        <w:tc>
          <w:tcPr>
            <w:tcW w:w="0" w:type="auto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Грунтование</w:t>
            </w:r>
          </w:p>
        </w:tc>
        <w:tc>
          <w:tcPr>
            <w:tcW w:w="0" w:type="auto"/>
            <w:gridSpan w:val="2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Разбавить полиуретановую "</w:t>
            </w:r>
            <w:proofErr w:type="spellStart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Новофлор</w:t>
            </w:r>
            <w:proofErr w:type="spellEnd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 xml:space="preserve"> 1-К грунтовку " на 20-40% растворителем "</w:t>
            </w:r>
            <w:proofErr w:type="spellStart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Новофлор</w:t>
            </w:r>
            <w:proofErr w:type="spellEnd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 xml:space="preserve">". Готовая смесь наливается на пол и равномерно распределяется по поверхности. На участки пола, где грунтовка полностью впитывается в подложку, наносится второй слой грунтовки методом "мокрый по </w:t>
            </w:r>
            <w:proofErr w:type="gramStart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мокрому</w:t>
            </w:r>
            <w:proofErr w:type="gramEnd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 xml:space="preserve">". По свежей поверхности ходить в </w:t>
            </w:r>
            <w:proofErr w:type="spellStart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спецобуви</w:t>
            </w:r>
            <w:proofErr w:type="spellEnd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 xml:space="preserve"> с шипами.</w:t>
            </w:r>
          </w:p>
        </w:tc>
      </w:tr>
      <w:tr w:rsidR="006C5EA8" w:rsidRPr="006C5EA8" w:rsidTr="006C5EA8">
        <w:trPr>
          <w:tblCellSpacing w:w="15" w:type="dxa"/>
          <w:jc w:val="center"/>
        </w:trPr>
        <w:tc>
          <w:tcPr>
            <w:tcW w:w="0" w:type="auto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Заделка</w:t>
            </w:r>
          </w:p>
        </w:tc>
        <w:tc>
          <w:tcPr>
            <w:tcW w:w="0" w:type="auto"/>
            <w:gridSpan w:val="2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Выбоины, расширенные трещины и впадины выровнять смесью эпоксидной грунтовки "</w:t>
            </w:r>
            <w:proofErr w:type="spellStart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Новопокс</w:t>
            </w:r>
            <w:proofErr w:type="spellEnd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gramStart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П</w:t>
            </w:r>
            <w:proofErr w:type="gramEnd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" с чистым сухим песком зернистостью 0,1-0,6 мм. Для получения однородной массы в смесь необходимо добавить достаточное количество песка. Выровненные места отшлифовать в уровень с окружающим полом.</w:t>
            </w:r>
          </w:p>
        </w:tc>
      </w:tr>
      <w:tr w:rsidR="006C5EA8" w:rsidRPr="006C5EA8" w:rsidTr="006C5EA8">
        <w:trPr>
          <w:tblCellSpacing w:w="15" w:type="dxa"/>
          <w:jc w:val="center"/>
        </w:trPr>
        <w:tc>
          <w:tcPr>
            <w:tcW w:w="0" w:type="auto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Облицовка</w:t>
            </w:r>
          </w:p>
        </w:tc>
        <w:tc>
          <w:tcPr>
            <w:tcW w:w="0" w:type="auto"/>
            <w:gridSpan w:val="2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Покрытие можно наносить через 4-12 часов после грунтования (+230С) согласно инструкции по применению самого покрытия. Если покрытие производят по истечению 24 часов после грунтования, поверхность следует отшлифовать перед нанесением покрытия.</w:t>
            </w:r>
          </w:p>
        </w:tc>
      </w:tr>
      <w:tr w:rsidR="006C5EA8" w:rsidRPr="006C5EA8" w:rsidTr="006C5EA8">
        <w:trPr>
          <w:tblCellSpacing w:w="15" w:type="dxa"/>
          <w:jc w:val="center"/>
        </w:trPr>
        <w:tc>
          <w:tcPr>
            <w:tcW w:w="0" w:type="auto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промыть растворителем "</w:t>
            </w:r>
            <w:proofErr w:type="spellStart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Новофлор</w:t>
            </w:r>
            <w:proofErr w:type="spellEnd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6C5EA8" w:rsidRPr="006C5EA8" w:rsidTr="006C5EA8">
        <w:trPr>
          <w:tblCellSpacing w:w="15" w:type="dxa"/>
          <w:jc w:val="center"/>
        </w:trPr>
        <w:tc>
          <w:tcPr>
            <w:tcW w:w="0" w:type="auto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 xml:space="preserve">Лакированная поверхность достигает своей окончательной износостойкости и </w:t>
            </w:r>
            <w:proofErr w:type="spellStart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химстойкости</w:t>
            </w:r>
            <w:proofErr w:type="spellEnd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 xml:space="preserve"> в течение примерно двух недель после лакирования. В данный период рекомендуется избегать сильной очистки поверхности. </w:t>
            </w: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br/>
              <w:t>Очищать поверхность щеткой или тряпкой. Загрязнения на поверхности можно очищать намоченной нейтральным моющим раствором (</w:t>
            </w:r>
            <w:proofErr w:type="spellStart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рН</w:t>
            </w:r>
            <w:proofErr w:type="spellEnd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 xml:space="preserve"> 6-8) тканью или губкой.</w:t>
            </w:r>
          </w:p>
        </w:tc>
      </w:tr>
      <w:tr w:rsidR="006C5EA8" w:rsidRPr="006C5EA8" w:rsidTr="006C5EA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6C5EA8" w:rsidRPr="006C5EA8" w:rsidTr="006C5EA8">
        <w:trPr>
          <w:tblCellSpacing w:w="15" w:type="dxa"/>
          <w:jc w:val="center"/>
        </w:trPr>
        <w:tc>
          <w:tcPr>
            <w:tcW w:w="0" w:type="auto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Содержит </w:t>
            </w:r>
            <w:proofErr w:type="spellStart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изоцианатовое</w:t>
            </w:r>
            <w:proofErr w:type="spellEnd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gramStart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связующее</w:t>
            </w:r>
            <w:proofErr w:type="gramEnd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ксилол. Соблюдать инструкции паспорта техники безопасности. ВОСПЛАМЕНЯЮЩЕЕСЯ ВЕЩЕСТВО. ВРЕДНО ДЛЯ ЗДОРОВЬЯ ПРИ ВДЫХАНИИ И ПОПАДАНИИ НА КОЖУ. Не вдыхать паров растворителей или красочной пыли. Организовать эффективный воздухообмен или носить респиратор. Носить защитную одежду и перчатки. На грунтовку имеется паспорт техники </w:t>
            </w:r>
            <w:proofErr w:type="spellStart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безопсности.</w:t>
            </w:r>
            <w:hyperlink r:id="rId18" w:tgtFrame="_blank" w:tooltip="Паспорт техники безопасности (pdf) (290.1 KB)" w:history="1">
              <w:r w:rsidRPr="006C5EA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6C5EA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6C5EA8" w:rsidRPr="006C5EA8" w:rsidTr="006C5EA8">
        <w:trPr>
          <w:tblCellSpacing w:w="15" w:type="dxa"/>
          <w:jc w:val="center"/>
        </w:trPr>
        <w:tc>
          <w:tcPr>
            <w:tcW w:w="0" w:type="auto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0" cy="438150"/>
                  <wp:effectExtent l="19050" t="0" r="0" b="0"/>
                  <wp:docPr id="13" name="Рисунок 13" descr="Вред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ред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Вредный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C5EA8" w:rsidRPr="006C5EA8" w:rsidRDefault="006C5EA8" w:rsidP="006C5E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C5EA8" w:rsidRPr="006C5EA8" w:rsidTr="006C5EA8">
        <w:trPr>
          <w:tblCellSpacing w:w="15" w:type="dxa"/>
          <w:jc w:val="center"/>
        </w:trPr>
        <w:tc>
          <w:tcPr>
            <w:tcW w:w="0" w:type="auto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в землю. Жидкие остатки передать </w:t>
            </w:r>
            <w:proofErr w:type="gramStart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свалку. </w:t>
            </w:r>
          </w:p>
        </w:tc>
      </w:tr>
      <w:tr w:rsidR="006C5EA8" w:rsidRPr="006C5EA8" w:rsidTr="006C5EA8">
        <w:trPr>
          <w:tblCellSpacing w:w="15" w:type="dxa"/>
          <w:jc w:val="center"/>
        </w:trPr>
        <w:tc>
          <w:tcPr>
            <w:tcW w:w="0" w:type="auto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5EA8">
              <w:rPr>
                <w:rFonts w:ascii="Verdana" w:eastAsia="Times New Roman" w:hAnsi="Verdana" w:cs="Times New Roman"/>
                <w:sz w:val="18"/>
                <w:szCs w:val="18"/>
              </w:rPr>
              <w:t>VAK/ADR 3 III</w:t>
            </w:r>
          </w:p>
        </w:tc>
      </w:tr>
      <w:tr w:rsidR="006C5EA8" w:rsidRPr="006C5EA8" w:rsidTr="006C5EA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6C5EA8" w:rsidRPr="006C5EA8" w:rsidRDefault="006C5EA8" w:rsidP="006C5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7A13DD" w:rsidRDefault="007A13DD"/>
    <w:sectPr w:rsidR="007A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EA8"/>
    <w:rsid w:val="006C5EA8"/>
    <w:rsid w:val="007A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EA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C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6553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6633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52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91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89323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101338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www.tikkurila.ru/files/2805/NOVOFLOOR_1-K_005_5767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4347/063964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5088/Novofloor_1_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3806/novofloor_1_k_primer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files/4328/dekl2.pdf" TargetMode="External"/><Relationship Id="rId10" Type="http://schemas.openxmlformats.org/officeDocument/2006/relationships/image" Target="media/image5.gif"/><Relationship Id="rId19" Type="http://schemas.openxmlformats.org/officeDocument/2006/relationships/image" Target="media/image10.gif"/><Relationship Id="rId4" Type="http://schemas.openxmlformats.org/officeDocument/2006/relationships/hyperlink" Target="http://www.tikkurila.ru/files/3806/novofloor_1_k_primer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4805</Characters>
  <Application>Microsoft Office Word</Application>
  <DocSecurity>0</DocSecurity>
  <Lines>40</Lines>
  <Paragraphs>11</Paragraphs>
  <ScaleCrop>false</ScaleCrop>
  <Company>ООО "БалтМостПроект"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2012-07-09T08:54:00Z</dcterms:created>
  <dcterms:modified xsi:type="dcterms:W3CDTF">2012-07-09T08:54:00Z</dcterms:modified>
</cp:coreProperties>
</file>