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5116"/>
        <w:gridCol w:w="1664"/>
      </w:tblGrid>
      <w:tr w:rsidR="008B6FF2" w:rsidRPr="008B6FF2" w:rsidTr="008B6FF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  <w:t>30.05.2011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8B6FF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Ультра </w:t>
            </w:r>
            <w:proofErr w:type="spellStart"/>
            <w:r w:rsidRPr="008B6FF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Праймер</w:t>
            </w:r>
            <w:proofErr w:type="spellEnd"/>
            <w:r w:rsidRPr="008B6FF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грунтовка и межслойная грунтовка</w:t>
            </w:r>
          </w:p>
        </w:tc>
        <w:tc>
          <w:tcPr>
            <w:tcW w:w="0" w:type="auto"/>
            <w:vMerge w:val="restart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льтра Пример">
                    <a:hlinkClick xmlns:a="http://schemas.openxmlformats.org/drawingml/2006/main" r:id="rId4" tooltip="&quot;Ультра Пример (jpg) (26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ьтра Пример">
                            <a:hlinkClick r:id="rId4" tooltip="&quot;Ультра Пример (jpg) (26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льтра Пример (jpg) (26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льтра Пример (jpg) (26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льтра Пример (jpg) (26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B6FF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грунтовка и межслойная грунтовка для наружной окраски деревянных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8B6FF2" w:rsidRPr="008B6FF2" w:rsidRDefault="008B6FF2" w:rsidP="008B6FF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Подходит для грунтования и межслойного грунтования новых, загрунтованных промышленным способом, или окрашенных ранее деревянных поверхностей перед нанесением покрывных красок семейства "Ультра" или краски ”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Пика-Техо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”.</w:t>
            </w:r>
          </w:p>
        </w:tc>
        <w:tc>
          <w:tcPr>
            <w:tcW w:w="0" w:type="auto"/>
            <w:vMerge/>
            <w:vAlign w:val="center"/>
            <w:hideMark/>
          </w:tcPr>
          <w:p w:rsidR="008B6FF2" w:rsidRPr="008B6FF2" w:rsidRDefault="008B6FF2" w:rsidP="008B6FF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грунтования и межслойного грунтования наружных дощатых стен, обшивочных досок, перил, заборов и т.п.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8B6FF2" w:rsidRPr="008B6FF2" w:rsidRDefault="008B6FF2" w:rsidP="008B6FF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8B6FF2" w:rsidRPr="008B6FF2" w:rsidRDefault="008B6FF2" w:rsidP="008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6FF2" w:rsidRPr="008B6FF2" w:rsidRDefault="008B6FF2" w:rsidP="008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наружны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наружны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FF2" w:rsidRPr="008B6FF2" w:rsidRDefault="008B6FF2" w:rsidP="008B6FF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FF2" w:rsidRPr="008B6FF2" w:rsidRDefault="008B6FF2" w:rsidP="008B6FF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9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AP и C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Белую краску базиса АР можно применять как таковую или колеровать близко к цвету покрывной краски. Цвет не является точным.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На пиленую поверхность – 4–6 м²/л.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строганную поверхность –7–9 м²/л.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0,9 л, 2,7 л, 9 л, 18 л.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щеткой или распылением. При распылении под высоким давлением применять сопло 0,018"- 0,023", т.е. 0,460-0,580 мм. Допускается  разбавить до 10 % по объему.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На отлип</w:t>
            </w:r>
            <w:proofErr w:type="gram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1 час.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  <w:t>В нормальных условиях следующий слой можно наносить через 2–4 часа. При более низкой температуре и в сырую погоду высыхание замедляется.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40 %.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 В неплотно закрытой или неполной таре краска не выдерживает длительного хранения.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698-серия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304.1 KB)" w:history="1">
              <w:r w:rsidRPr="008B6FF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8B6FF2" w:rsidRPr="008B6FF2" w:rsidRDefault="008B6FF2" w:rsidP="008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6FF2" w:rsidRPr="008B6FF2" w:rsidRDefault="008B6FF2" w:rsidP="008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т.е. относительная влажность древесины должна быть ниже 20 %. Температура воздуха во время покрасочных работ и высыхания должна быть не ниже +5</w:t>
            </w:r>
            <w:proofErr w:type="gram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º С</w:t>
            </w:r>
            <w:proofErr w:type="gram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– не выше 80 %.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Предварительная 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Неокрашенные поверхности: 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При необходимости, очистить неокрашенную или загрунтованную промышленным способом деревянную поверхность от грязи, пыли, плесени и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посторнних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включений. Древесину загрунтовать по возможности на самой ранней стадии строительства грунтовочным антисептиком "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Аквабейс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". Защитить ржавеющие металлические детали, например, шляпки гвоздей, противокоррозионной грунтовкой "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". Смолу удалить и сучки изолировать лаком "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отслаивающуюся краску скребком и очистить поверхность с помощью стальной щетки. Загрязненные и заплесневелые поверхности вымыть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гипохлоритным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составом "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" согласно инструкции по применению. Нанести на очищенные до голого дерева поверхности грунтовочный антисептик "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Аквабейс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Затем загрунтовать эти участки грунтовкой ”УЛЬТРА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Праймер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”.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грунтовку тщательно перемешать. При необходимости, разбавить водой до 10 %. Наносить грунтовку кистью, щеткой или распылением под высоким давлением с последующим выравниванием кистью. Торцевые концы древесины обработать особенно тщательно. 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Покрывную окраску рекомендуется проводить как можно скорее после грунтования, однако не позднее, чем через 10 месяцев. 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Нанести 1–2 слоя краски семейства "Ультра" или краски ”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Пика-Техо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” в зависимости от разницы в цвете подложки и состояния окрашиваемой поверхности.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затвердевшую краску можно легко удалить с инструментов при помощи средства "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октил-изотиацолин</w:t>
            </w:r>
            <w:proofErr w:type="spell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оксид цинка. РАЗДРАЖАЮЩЕЕ ВЕЩЕСТВО. КОНТАКТ С КОЖЕЙ МОЖЕТ ВЫЗВАТЬ АЛЛЕРГИЧЕСКУЮ РЕАКЦИЮ. МОЖЕТ ОКАЗАТЬ ДЛИТЕЛЬНОЕ НЕБЛАГОПРИЯТНОЕ ВОЗДЕЙСТВИЕ НА ВОДНУЮ СРЕДУ. Избегать вдыхания тумана от распыления. Избегать попадания на кожу. Носить защитные перчатки. В случае проглатывания незамедлительно обратиться к врачу и показать данную упаковку или этикетку. Не допускать попадания в канализацию. Беречь от детей. На грунтовку имеется паспорт техники </w:t>
            </w:r>
            <w:proofErr w:type="spell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119.8 KB)" w:history="1">
              <w:r w:rsidRPr="008B6FF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8B6FF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6FF2" w:rsidRPr="008B6FF2" w:rsidRDefault="008B6FF2" w:rsidP="008B6FF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8B6FF2" w:rsidRPr="008B6FF2" w:rsidTr="008B6FF2">
        <w:trPr>
          <w:tblCellSpacing w:w="15" w:type="dxa"/>
          <w:jc w:val="center"/>
        </w:trPr>
        <w:tc>
          <w:tcPr>
            <w:tcW w:w="0" w:type="auto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8B6FF2" w:rsidRPr="008B6FF2" w:rsidRDefault="008B6FF2" w:rsidP="008B6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6FF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E94FD1" w:rsidRDefault="00E94FD1"/>
    <w:sectPr w:rsidR="00E9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FF2"/>
    <w:rsid w:val="008B6FF2"/>
    <w:rsid w:val="00E9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F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26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30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4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6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251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0582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251/ULTRA_PRIMER_698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245/ULTRA-PRIMER_10L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5262/Ultra_Primer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5245/ULTRA-PRIMER_10L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2012-07-09T10:01:00Z</dcterms:created>
  <dcterms:modified xsi:type="dcterms:W3CDTF">2012-07-09T10:01:00Z</dcterms:modified>
</cp:coreProperties>
</file>